
<file path=[Content_Types].xml><?xml version="1.0" encoding="utf-8"?>
<Types xmlns="http://schemas.openxmlformats.org/package/2006/content-types">
  <Default Extension="xml" ContentType="application/xml"/>
  <Default Extension="wmf" ContentType="image/x-wmf"/>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bookmarkStart w:id="86"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93.160 </w:t>
            </w:r>
            <w:r>
              <w:rPr>
                <w:rFonts w:ascii="黑体" w:hAnsi="黑体" w:eastAsia="黑体"/>
                <w:sz w:val="21"/>
                <w:szCs w:val="21"/>
              </w:rPr>
              <w:fldChar w:fldCharType="end"/>
            </w:r>
            <w:bookmarkEnd w:id="0"/>
            <w:bookmarkEnd w:id="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P56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河道砂料上岸密度测定技术导则</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echnical guidelines for density determination of river sand transfer ashore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80943043"/>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"_Toc180951414" </w:instrText>
      </w:r>
      <w:r>
        <w:fldChar w:fldCharType="separate"/>
      </w:r>
      <w:r>
        <w:rPr>
          <w:rStyle w:val="32"/>
        </w:rPr>
        <w:t>前言</w:t>
      </w:r>
      <w:r>
        <w:tab/>
      </w:r>
      <w:r>
        <w:fldChar w:fldCharType="begin"/>
      </w:r>
      <w:r>
        <w:instrText xml:space="preserve"> PAGEREF _Toc180951414 \h </w:instrText>
      </w:r>
      <w:r>
        <w:fldChar w:fldCharType="separate"/>
      </w:r>
      <w:r>
        <w:t>II</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"_Toc180951415" </w:instrText>
      </w:r>
      <w:r>
        <w:fldChar w:fldCharType="separate"/>
      </w:r>
      <w:r>
        <w:rPr>
          <w:rStyle w:val="32"/>
        </w:rPr>
        <w:t>1  范围</w:t>
      </w:r>
      <w:r>
        <w:tab/>
      </w:r>
      <w:r>
        <w:fldChar w:fldCharType="begin"/>
      </w:r>
      <w:r>
        <w:instrText xml:space="preserve"> PAGEREF _Toc180951415 \h </w:instrText>
      </w:r>
      <w:r>
        <w:fldChar w:fldCharType="separate"/>
      </w:r>
      <w:r>
        <w:t>1</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"_Toc180951416" </w:instrText>
      </w:r>
      <w:r>
        <w:fldChar w:fldCharType="separate"/>
      </w:r>
      <w:r>
        <w:rPr>
          <w:rStyle w:val="32"/>
        </w:rPr>
        <w:t>2  规范性引用文件</w:t>
      </w:r>
      <w:r>
        <w:tab/>
      </w:r>
      <w:r>
        <w:fldChar w:fldCharType="begin"/>
      </w:r>
      <w:r>
        <w:instrText xml:space="preserve"> PAGEREF _Toc180951416 \h </w:instrText>
      </w:r>
      <w:r>
        <w:fldChar w:fldCharType="separate"/>
      </w:r>
      <w:r>
        <w:t>1</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"_Toc180951417" </w:instrText>
      </w:r>
      <w:r>
        <w:fldChar w:fldCharType="separate"/>
      </w:r>
      <w:r>
        <w:rPr>
          <w:rStyle w:val="32"/>
        </w:rPr>
        <w:t>3  术语和定义</w:t>
      </w:r>
      <w:r>
        <w:tab/>
      </w:r>
      <w:r>
        <w:fldChar w:fldCharType="begin"/>
      </w:r>
      <w:r>
        <w:instrText xml:space="preserve"> PAGEREF _Toc180951417 \h </w:instrText>
      </w:r>
      <w:r>
        <w:fldChar w:fldCharType="separate"/>
      </w:r>
      <w:r>
        <w:t>1</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"_Toc180951418" </w:instrText>
      </w:r>
      <w:r>
        <w:fldChar w:fldCharType="separate"/>
      </w:r>
      <w:r>
        <w:rPr>
          <w:rStyle w:val="32"/>
        </w:rPr>
        <w:t>4  计量指标和方法</w:t>
      </w:r>
      <w:r>
        <w:tab/>
      </w:r>
      <w:r>
        <w:fldChar w:fldCharType="begin"/>
      </w:r>
      <w:r>
        <w:instrText xml:space="preserve"> PAGEREF _Toc180951418 \h </w:instrText>
      </w:r>
      <w:r>
        <w:fldChar w:fldCharType="separate"/>
      </w:r>
      <w:r>
        <w:t>1</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"_Toc180951419" </w:instrText>
      </w:r>
      <w:r>
        <w:fldChar w:fldCharType="separate"/>
      </w:r>
      <w:r>
        <w:rPr>
          <w:rStyle w:val="32"/>
          <w14:scene3d>
            <w14:lightRig w14:rig="threePt" w14:dir="t">
              <w14:rot w14:lat="0" w14:lon="0" w14:rev="0"/>
            </w14:lightRig>
          </w14:scene3d>
        </w:rPr>
        <w:t xml:space="preserve">4.1 </w:t>
      </w:r>
      <w:r>
        <w:rPr>
          <w:rStyle w:val="32"/>
        </w:rPr>
        <w:t xml:space="preserve"> 一般规定</w:t>
      </w:r>
      <w:r>
        <w:tab/>
      </w:r>
      <w:r>
        <w:fldChar w:fldCharType="begin"/>
      </w:r>
      <w:r>
        <w:instrText xml:space="preserve"> PAGEREF _Toc180951419 \h </w:instrText>
      </w:r>
      <w:r>
        <w:fldChar w:fldCharType="separate"/>
      </w:r>
      <w:r>
        <w:t>1</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"_Toc180951420" </w:instrText>
      </w:r>
      <w:r>
        <w:fldChar w:fldCharType="separate"/>
      </w:r>
      <w:r>
        <w:rPr>
          <w:rStyle w:val="32"/>
          <w14:scene3d>
            <w14:lightRig w14:rig="threePt" w14:dir="t">
              <w14:rot w14:lat="0" w14:lon="0" w14:rev="0"/>
            </w14:lightRig>
          </w14:scene3d>
        </w:rPr>
        <w:t xml:space="preserve">4.2 </w:t>
      </w:r>
      <w:r>
        <w:rPr>
          <w:rStyle w:val="32"/>
        </w:rPr>
        <w:t xml:space="preserve"> 运砂车实际载运量</w:t>
      </w:r>
      <w:r>
        <w:tab/>
      </w:r>
      <w:r>
        <w:fldChar w:fldCharType="begin"/>
      </w:r>
      <w:r>
        <w:instrText xml:space="preserve"> PAGEREF _Toc180951420 \h </w:instrText>
      </w:r>
      <w:r>
        <w:fldChar w:fldCharType="separate"/>
      </w:r>
      <w:r>
        <w:t>2</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"_Toc180951421" </w:instrText>
      </w:r>
      <w:r>
        <w:fldChar w:fldCharType="separate"/>
      </w:r>
      <w:r>
        <w:rPr>
          <w:rStyle w:val="32"/>
          <w14:scene3d>
            <w14:lightRig w14:rig="threePt" w14:dir="t">
              <w14:rot w14:lat="0" w14:lon="0" w14:rev="0"/>
            </w14:lightRig>
          </w14:scene3d>
        </w:rPr>
        <w:t xml:space="preserve">4.3 </w:t>
      </w:r>
      <w:r>
        <w:rPr>
          <w:rStyle w:val="32"/>
        </w:rPr>
        <w:t xml:space="preserve"> 运砂船实际载运量</w:t>
      </w:r>
      <w:r>
        <w:tab/>
      </w:r>
      <w:r>
        <w:fldChar w:fldCharType="begin"/>
      </w:r>
      <w:r>
        <w:instrText xml:space="preserve"> PAGEREF _Toc180951421 \h </w:instrText>
      </w:r>
      <w:r>
        <w:fldChar w:fldCharType="separate"/>
      </w:r>
      <w:r>
        <w:t>2</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"_Toc180951422" </w:instrText>
      </w:r>
      <w:r>
        <w:fldChar w:fldCharType="separate"/>
      </w:r>
      <w:r>
        <w:rPr>
          <w:rStyle w:val="32"/>
        </w:rPr>
        <w:t>5  运砂车过磅计重</w:t>
      </w:r>
      <w:r>
        <w:tab/>
      </w:r>
      <w:r>
        <w:fldChar w:fldCharType="begin"/>
      </w:r>
      <w:r>
        <w:instrText xml:space="preserve"> PAGEREF _Toc180951422 \h </w:instrText>
      </w:r>
      <w:r>
        <w:fldChar w:fldCharType="separate"/>
      </w:r>
      <w:r>
        <w:t>3</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"_Toc180951423" </w:instrText>
      </w:r>
      <w:r>
        <w:fldChar w:fldCharType="separate"/>
      </w:r>
      <w:r>
        <w:rPr>
          <w:rStyle w:val="32"/>
          <w14:scene3d>
            <w14:lightRig w14:rig="threePt" w14:dir="t">
              <w14:rot w14:lat="0" w14:lon="0" w14:rev="0"/>
            </w14:lightRig>
          </w14:scene3d>
        </w:rPr>
        <w:t xml:space="preserve">5.1 </w:t>
      </w:r>
      <w:r>
        <w:rPr>
          <w:rStyle w:val="32"/>
        </w:rPr>
        <w:t xml:space="preserve"> 一般规定</w:t>
      </w:r>
      <w:r>
        <w:tab/>
      </w:r>
      <w:r>
        <w:fldChar w:fldCharType="begin"/>
      </w:r>
      <w:r>
        <w:instrText xml:space="preserve"> PAGEREF _Toc180951423 \h </w:instrText>
      </w:r>
      <w:r>
        <w:fldChar w:fldCharType="separate"/>
      </w:r>
      <w:r>
        <w:t>3</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"_Toc180951424" </w:instrText>
      </w:r>
      <w:r>
        <w:fldChar w:fldCharType="separate"/>
      </w:r>
      <w:r>
        <w:rPr>
          <w:rStyle w:val="32"/>
          <w14:scene3d>
            <w14:lightRig w14:rig="threePt" w14:dir="t">
              <w14:rot w14:lat="0" w14:lon="0" w14:rev="0"/>
            </w14:lightRig>
          </w14:scene3d>
        </w:rPr>
        <w:t xml:space="preserve">5.2 </w:t>
      </w:r>
      <w:r>
        <w:rPr>
          <w:rStyle w:val="32"/>
        </w:rPr>
        <w:t xml:space="preserve"> 过磅计重</w:t>
      </w:r>
      <w:r>
        <w:tab/>
      </w:r>
      <w:r>
        <w:fldChar w:fldCharType="begin"/>
      </w:r>
      <w:r>
        <w:instrText xml:space="preserve"> PAGEREF _Toc180951424 \h </w:instrText>
      </w:r>
      <w:r>
        <w:fldChar w:fldCharType="separate"/>
      </w:r>
      <w:r>
        <w:t>3</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"_Toc180951425" </w:instrText>
      </w:r>
      <w:r>
        <w:fldChar w:fldCharType="separate"/>
      </w:r>
      <w:r>
        <w:rPr>
          <w:rStyle w:val="32"/>
        </w:rPr>
        <w:t>6  运砂船水尺计重</w:t>
      </w:r>
      <w:r>
        <w:tab/>
      </w:r>
      <w:r>
        <w:fldChar w:fldCharType="begin"/>
      </w:r>
      <w:r>
        <w:instrText xml:space="preserve"> PAGEREF _Toc180951425 \h </w:instrText>
      </w:r>
      <w:r>
        <w:fldChar w:fldCharType="separate"/>
      </w:r>
      <w:r>
        <w:t>3</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"_Toc180951426" </w:instrText>
      </w:r>
      <w:r>
        <w:fldChar w:fldCharType="separate"/>
      </w:r>
      <w:r>
        <w:rPr>
          <w:rStyle w:val="32"/>
          <w14:scene3d>
            <w14:lightRig w14:rig="threePt" w14:dir="t">
              <w14:rot w14:lat="0" w14:lon="0" w14:rev="0"/>
            </w14:lightRig>
          </w14:scene3d>
        </w:rPr>
        <w:t xml:space="preserve">6.1 </w:t>
      </w:r>
      <w:r>
        <w:rPr>
          <w:rStyle w:val="32"/>
        </w:rPr>
        <w:t xml:space="preserve"> 一般要求</w:t>
      </w:r>
      <w:r>
        <w:tab/>
      </w:r>
      <w:r>
        <w:fldChar w:fldCharType="begin"/>
      </w:r>
      <w:r>
        <w:instrText xml:space="preserve"> PAGEREF _Toc180951426 \h </w:instrText>
      </w:r>
      <w:r>
        <w:fldChar w:fldCharType="separate"/>
      </w:r>
      <w:r>
        <w:t>3</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"_Toc180951427" </w:instrText>
      </w:r>
      <w:r>
        <w:fldChar w:fldCharType="separate"/>
      </w:r>
      <w:r>
        <w:rPr>
          <w:rStyle w:val="32"/>
          <w14:scene3d>
            <w14:lightRig w14:rig="threePt" w14:dir="t">
              <w14:rot w14:lat="0" w14:lon="0" w14:rev="0"/>
            </w14:lightRig>
          </w14:scene3d>
        </w:rPr>
        <w:t xml:space="preserve">6.2 </w:t>
      </w:r>
      <w:r>
        <w:rPr>
          <w:rStyle w:val="32"/>
        </w:rPr>
        <w:t xml:space="preserve"> 船舶吃水测量</w:t>
      </w:r>
      <w:r>
        <w:tab/>
      </w:r>
      <w:r>
        <w:fldChar w:fldCharType="begin"/>
      </w:r>
      <w:r>
        <w:instrText xml:space="preserve"> PAGEREF _Toc180951427 \h </w:instrText>
      </w:r>
      <w:r>
        <w:fldChar w:fldCharType="separate"/>
      </w:r>
      <w:r>
        <w:t>3</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"_Toc180951428" </w:instrText>
      </w:r>
      <w:r>
        <w:fldChar w:fldCharType="separate"/>
      </w:r>
      <w:r>
        <w:rPr>
          <w:rStyle w:val="32"/>
          <w14:scene3d>
            <w14:lightRig w14:rig="threePt" w14:dir="t">
              <w14:rot w14:lat="0" w14:lon="0" w14:rev="0"/>
            </w14:lightRig>
          </w14:scene3d>
        </w:rPr>
        <w:t xml:space="preserve">6.3 </w:t>
      </w:r>
      <w:r>
        <w:rPr>
          <w:rStyle w:val="32"/>
        </w:rPr>
        <w:t xml:space="preserve"> 校正与计重</w:t>
      </w:r>
      <w:r>
        <w:tab/>
      </w:r>
      <w:r>
        <w:fldChar w:fldCharType="begin"/>
      </w:r>
      <w:r>
        <w:instrText xml:space="preserve"> PAGEREF _Toc180951428 \h </w:instrText>
      </w:r>
      <w:r>
        <w:fldChar w:fldCharType="separate"/>
      </w:r>
      <w:r>
        <w:t>3</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"_Toc180951429" </w:instrText>
      </w:r>
      <w:r>
        <w:fldChar w:fldCharType="separate"/>
      </w:r>
      <w:r>
        <w:rPr>
          <w:rStyle w:val="32"/>
        </w:rPr>
        <w:t>7  运砂船密度体积计重</w:t>
      </w:r>
      <w:r>
        <w:tab/>
      </w:r>
      <w:r>
        <w:fldChar w:fldCharType="begin"/>
      </w:r>
      <w:r>
        <w:instrText xml:space="preserve"> PAGEREF _Toc180951429 \h </w:instrText>
      </w:r>
      <w:r>
        <w:fldChar w:fldCharType="separate"/>
      </w:r>
      <w:r>
        <w:t>4</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"_Toc180951430" </w:instrText>
      </w:r>
      <w:r>
        <w:fldChar w:fldCharType="separate"/>
      </w:r>
      <w:r>
        <w:rPr>
          <w:rStyle w:val="32"/>
          <w14:scene3d>
            <w14:lightRig w14:rig="threePt" w14:dir="t">
              <w14:rot w14:lat="0" w14:lon="0" w14:rev="0"/>
            </w14:lightRig>
          </w14:scene3d>
        </w:rPr>
        <w:t xml:space="preserve">7.1 </w:t>
      </w:r>
      <w:r>
        <w:rPr>
          <w:rStyle w:val="32"/>
        </w:rPr>
        <w:t xml:space="preserve"> 体积测量</w:t>
      </w:r>
      <w:r>
        <w:tab/>
      </w:r>
      <w:r>
        <w:fldChar w:fldCharType="begin"/>
      </w:r>
      <w:r>
        <w:instrText xml:space="preserve"> PAGEREF _Toc180951430 \h </w:instrText>
      </w:r>
      <w:r>
        <w:fldChar w:fldCharType="separate"/>
      </w:r>
      <w:r>
        <w:t>4</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"_Toc180951431" </w:instrText>
      </w:r>
      <w:r>
        <w:fldChar w:fldCharType="separate"/>
      </w:r>
      <w:r>
        <w:rPr>
          <w:rStyle w:val="32"/>
          <w14:scene3d>
            <w14:lightRig w14:rig="threePt" w14:dir="t">
              <w14:rot w14:lat="0" w14:lon="0" w14:rev="0"/>
            </w14:lightRig>
          </w14:scene3d>
        </w:rPr>
        <w:t xml:space="preserve">7.2 </w:t>
      </w:r>
      <w:r>
        <w:rPr>
          <w:rStyle w:val="32"/>
        </w:rPr>
        <w:t xml:space="preserve"> 密度样品测定</w:t>
      </w:r>
      <w:r>
        <w:tab/>
      </w:r>
      <w:r>
        <w:fldChar w:fldCharType="begin"/>
      </w:r>
      <w:r>
        <w:instrText xml:space="preserve"> PAGEREF _Toc180951431 \h </w:instrText>
      </w:r>
      <w:r>
        <w:fldChar w:fldCharType="separate"/>
      </w:r>
      <w:r>
        <w:t>4</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"_Toc180951432" </w:instrText>
      </w:r>
      <w:r>
        <w:fldChar w:fldCharType="separate"/>
      </w:r>
      <w:r>
        <w:rPr>
          <w:rStyle w:val="32"/>
          <w14:scene3d>
            <w14:lightRig w14:rig="threePt" w14:dir="t">
              <w14:rot w14:lat="0" w14:lon="0" w14:rev="0"/>
            </w14:lightRig>
          </w14:scene3d>
        </w:rPr>
        <w:t xml:space="preserve">7.3 </w:t>
      </w:r>
      <w:r>
        <w:rPr>
          <w:rStyle w:val="32"/>
        </w:rPr>
        <w:t xml:space="preserve"> 密度测定</w:t>
      </w:r>
      <w:r>
        <w:tab/>
      </w:r>
      <w:r>
        <w:fldChar w:fldCharType="begin"/>
      </w:r>
      <w:r>
        <w:instrText xml:space="preserve"> PAGEREF _Toc180951432 \h </w:instrText>
      </w:r>
      <w:r>
        <w:fldChar w:fldCharType="separate"/>
      </w:r>
      <w:r>
        <w:t>4</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"_Toc180951433" </w:instrText>
      </w:r>
      <w:r>
        <w:fldChar w:fldCharType="separate"/>
      </w:r>
      <w:r>
        <w:rPr>
          <w:rStyle w:val="32"/>
        </w:rPr>
        <w:t>附录A（资料性）  砂料样品采集装置</w:t>
      </w:r>
      <w:r>
        <w:tab/>
      </w:r>
      <w:r>
        <w:fldChar w:fldCharType="begin"/>
      </w:r>
      <w:r>
        <w:instrText xml:space="preserve"> PAGEREF _Toc180951433 \h </w:instrText>
      </w:r>
      <w:r>
        <w:fldChar w:fldCharType="separate"/>
      </w:r>
      <w:r>
        <w:t>6</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180951414"/>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p>
    <w:p>
      <w:pPr>
        <w:pStyle w:val="56"/>
        <w:ind w:firstLine="420"/>
      </w:pPr>
      <w:r>
        <w:rPr>
          <w:rFonts w:hint="eastAsia"/>
        </w:rPr>
        <w:t>本文件由长江水资源保护科学研究所提出。</w:t>
      </w:r>
    </w:p>
    <w:p>
      <w:pPr>
        <w:pStyle w:val="56"/>
        <w:ind w:firstLine="420"/>
      </w:pPr>
      <w:r>
        <w:rPr>
          <w:rFonts w:hint="eastAsia"/>
        </w:rPr>
        <w:t>本文件由湖北省水利厅归口。</w:t>
      </w:r>
    </w:p>
    <w:p>
      <w:pPr>
        <w:pStyle w:val="56"/>
        <w:ind w:firstLine="420"/>
      </w:pPr>
      <w:r>
        <w:rPr>
          <w:rFonts w:hint="eastAsia"/>
        </w:rPr>
        <w:t>本文件起草单位：长江水资源保护科学研究所、湖北省水利政务服务中心。</w:t>
      </w:r>
    </w:p>
    <w:p>
      <w:pPr>
        <w:snapToGrid w:val="0"/>
        <w:spacing w:before="60" w:after="60" w:line="288" w:lineRule="auto"/>
        <w:ind w:firstLine="420"/>
        <w:rPr>
          <w:rFonts w:hint="eastAsia" w:ascii="宋体" w:hAnsi="宋体" w:cs="宋体"/>
        </w:rPr>
      </w:pPr>
      <w:r>
        <w:rPr>
          <w:rFonts w:hint="eastAsia"/>
        </w:rPr>
        <w:t>本文件主要起草人：</w:t>
      </w:r>
      <w:r>
        <w:rPr>
          <w:rFonts w:ascii="宋体" w:hAnsi="宋体" w:cs="宋体"/>
        </w:rPr>
        <w:t>本</w:t>
      </w:r>
      <w:r>
        <w:rPr>
          <w:rFonts w:hint="eastAsia" w:ascii="宋体" w:hAnsi="宋体" w:cs="宋体"/>
        </w:rPr>
        <w:t>文件</w:t>
      </w:r>
      <w:r>
        <w:rPr>
          <w:rFonts w:ascii="宋体" w:hAnsi="宋体" w:cs="宋体"/>
        </w:rPr>
        <w:t>主要起草人：</w:t>
      </w:r>
      <w:r>
        <w:rPr>
          <w:rFonts w:hint="eastAsia" w:ascii="宋体" w:hAnsi="宋体" w:cs="宋体"/>
        </w:rPr>
        <w:t>待定。</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实施应用中的疑问，可咨询XXXXXXXX（归口单位），联系电话：XXXXXXXX，邮箱XXXXXXXX；或者牵头起草单位，联系电话：XXXXXXXX，邮箱：XXXXXXXX。对本文件的有关修改意见建议请反馈至XXXXXXXX（牵头起草单位），联系电话：XXXXXXXX，邮箱：XXXXXXXX；或者XXXXXXXX（归口单位），联系电话：XXXXXXXX，邮箱：XXXXXXXX；或者湖北省市场监督管理局，联系电话：027-87811019，邮箱：hbbzhc@163.com。</w:t>
      </w: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hint="eastAsia" w:ascii="黑体" w:hAnsi="黑体" w:eastAsia="黑体"/>
          <w:sz w:val="32"/>
          <w:szCs w:val="32"/>
        </w:rPr>
      </w:pPr>
      <w:bookmarkStart w:id="25"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E364C2BFC3174D1CA2829D178092DFF2"/>
        </w:placeholder>
      </w:sdtPr>
      <w:sdtEndPr>
        <w:rPr>
          <w:color w:val="FF0000"/>
          <w:sz w:val="24"/>
          <w:szCs w:val="24"/>
        </w:rPr>
      </w:sdtEndPr>
      <w:sdtContent>
        <w:p>
          <w:pPr>
            <w:pStyle w:val="177"/>
            <w:spacing w:before="3" w:beforeLines="1" w:after="686" w:afterLines="220"/>
            <w:rPr>
              <w:rFonts w:hint="eastAsia"/>
            </w:rPr>
          </w:pPr>
          <w:bookmarkStart w:id="26" w:name="NEW_STAND_NAME"/>
          <w:r>
            <w:rPr>
              <w:rFonts w:hint="eastAsia"/>
            </w:rPr>
            <w:t>河道砂料上岸密度测定技术导则</w:t>
          </w:r>
        </w:p>
      </w:sdtContent>
    </w:sdt>
    <w:bookmarkEnd w:id="26"/>
    <w:p>
      <w:pPr>
        <w:pStyle w:val="104"/>
        <w:spacing w:before="312" w:after="312"/>
      </w:pPr>
      <w:bookmarkStart w:id="27" w:name="_Toc26986530"/>
      <w:bookmarkStart w:id="28" w:name="_Toc26718930"/>
      <w:bookmarkStart w:id="29" w:name="_Toc24884211"/>
      <w:bookmarkStart w:id="30" w:name="_Toc17233333"/>
      <w:bookmarkStart w:id="31" w:name="_Toc24884218"/>
      <w:bookmarkStart w:id="32" w:name="_Toc180951415"/>
      <w:bookmarkStart w:id="33" w:name="_Toc26648465"/>
      <w:bookmarkStart w:id="34" w:name="_Toc26986771"/>
      <w:bookmarkStart w:id="35" w:name="_Toc17233325"/>
      <w:bookmarkStart w:id="36" w:name="_Toc180943044"/>
      <w:bookmarkStart w:id="37" w:name="_Toc97191423"/>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24884219"/>
      <w:bookmarkStart w:id="39" w:name="_Toc26648466"/>
      <w:bookmarkStart w:id="40" w:name="_Toc24884212"/>
      <w:bookmarkStart w:id="41" w:name="_Toc17233326"/>
      <w:bookmarkStart w:id="42" w:name="_Toc17233334"/>
      <w:r>
        <w:rPr>
          <w:rFonts w:hint="eastAsia"/>
        </w:rPr>
        <w:t>本文件规定了湖北省河道采砂和疏浚砂装载运输的计量指标、计量方法、现场测量、样品采集、密度测定等技术要求。</w:t>
      </w:r>
    </w:p>
    <w:p>
      <w:pPr>
        <w:pStyle w:val="56"/>
        <w:ind w:firstLine="420"/>
      </w:pPr>
      <w:r>
        <w:rPr>
          <w:rFonts w:hint="eastAsia"/>
        </w:rPr>
        <w:t>本文件适用于湖北省河道、湖泊、水库、人工水道等管理范围内河道采砂和疏浚砂上岸前</w:t>
      </w:r>
      <w:r>
        <w:rPr>
          <w:rFonts w:hint="eastAsia"/>
          <w:lang w:eastAsia="zh-CN"/>
        </w:rPr>
        <w:t>的</w:t>
      </w:r>
      <w:r>
        <w:rPr>
          <w:rFonts w:hint="eastAsia"/>
        </w:rPr>
        <w:t>现场核验、计量与测定工作。</w:t>
      </w:r>
    </w:p>
    <w:p>
      <w:pPr>
        <w:pStyle w:val="56"/>
        <w:ind w:firstLine="420"/>
      </w:pPr>
      <w:r>
        <w:rPr>
          <w:rFonts w:hint="eastAsia"/>
        </w:rPr>
        <w:t>本文件不适用于砂石上岸后销售阶段的计量与测定工作。</w:t>
      </w:r>
    </w:p>
    <w:p>
      <w:pPr>
        <w:pStyle w:val="104"/>
        <w:spacing w:before="312" w:after="312"/>
      </w:pPr>
      <w:bookmarkStart w:id="43" w:name="_Toc180951416"/>
      <w:bookmarkStart w:id="44" w:name="_Toc26986531"/>
      <w:bookmarkStart w:id="45" w:name="_Toc97191424"/>
      <w:bookmarkStart w:id="46" w:name="_Toc26718931"/>
      <w:bookmarkStart w:id="47" w:name="_Toc180943045"/>
      <w:bookmarkStart w:id="48" w:name="_Toc26986772"/>
      <w:r>
        <w:rPr>
          <w:rFonts w:hint="eastAsia"/>
        </w:rPr>
        <w:t>规范性引用文件</w:t>
      </w:r>
      <w:bookmarkEnd w:id="38"/>
      <w:bookmarkEnd w:id="39"/>
      <w:bookmarkEnd w:id="40"/>
      <w:bookmarkEnd w:id="41"/>
      <w:bookmarkEnd w:id="42"/>
      <w:bookmarkEnd w:id="43"/>
      <w:bookmarkEnd w:id="44"/>
      <w:bookmarkEnd w:id="45"/>
      <w:bookmarkEnd w:id="46"/>
      <w:bookmarkEnd w:id="47"/>
      <w:bookmarkEnd w:id="48"/>
    </w:p>
    <w:p>
      <w:pPr>
        <w:pStyle w:val="56"/>
        <w:ind w:firstLine="420"/>
      </w:pPr>
      <w:sdt>
        <w:sdtPr>
          <w:rPr>
            <w:rFonts w:hint="eastAsia"/>
          </w:rPr>
          <w:id w:val="715848253"/>
          <w:placeholder>
            <w:docPart w:val="8785A76976FC46459A6C0FD5495C314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rFonts w:hint="eastAsia"/>
        </w:rPr>
        <w:t xml:space="preserve"> </w:t>
      </w:r>
    </w:p>
    <w:p>
      <w:pPr>
        <w:pStyle w:val="56"/>
        <w:ind w:firstLine="420"/>
      </w:pPr>
      <w:r>
        <w:rPr>
          <w:rFonts w:hint="eastAsia"/>
        </w:rPr>
        <w:t>SN/T 3023.2  进出口商品重量鉴定规程 第2部分：水尺计重</w:t>
      </w:r>
    </w:p>
    <w:p>
      <w:pPr>
        <w:pStyle w:val="104"/>
        <w:spacing w:before="312" w:after="312"/>
      </w:pPr>
      <w:bookmarkStart w:id="49" w:name="_Toc97191425"/>
      <w:bookmarkStart w:id="50" w:name="_Toc180943046"/>
      <w:bookmarkStart w:id="51" w:name="_Toc180951417"/>
      <w:r>
        <w:rPr>
          <w:rFonts w:hint="eastAsia"/>
          <w:szCs w:val="21"/>
        </w:rPr>
        <w:t>术语和定义</w:t>
      </w:r>
      <w:bookmarkEnd w:id="49"/>
      <w:bookmarkEnd w:id="50"/>
      <w:bookmarkEnd w:id="51"/>
    </w:p>
    <w:sdt>
      <w:sdtPr>
        <w:id w:val="-1909835108"/>
        <w:placeholder>
          <w:docPart w:val="8EEA1B4513F2486DB6F7B74EEB4F1C2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实际装载量  actual load weight</w:t>
      </w:r>
    </w:p>
    <w:p>
      <w:pPr>
        <w:pStyle w:val="56"/>
        <w:ind w:firstLine="420"/>
      </w:pPr>
      <w:r>
        <w:rPr>
          <w:rFonts w:hint="eastAsia"/>
        </w:rPr>
        <w:t>运砂车或运砂船装运河道砂石所记录的待发状态下的重量。</w:t>
      </w:r>
    </w:p>
    <w:p>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水尺计重  draft survey</w:t>
      </w:r>
    </w:p>
    <w:p>
      <w:pPr>
        <w:pStyle w:val="56"/>
        <w:ind w:firstLine="420"/>
      </w:pPr>
      <w:r>
        <w:rPr>
          <w:rFonts w:hint="eastAsia"/>
        </w:rPr>
        <w:t>依据“阿基米德定律”，对运砂船装载前和装载后的吃水分别进行观测，并依据船舶的相关图表，经必要的校正，查算船舶排水量，以确定装载砂石重量的一种计重方法。</w:t>
      </w:r>
    </w:p>
    <w:p>
      <w:pPr>
        <w:pStyle w:val="56"/>
        <w:ind w:firstLine="420"/>
      </w:pPr>
      <w:r>
        <w:rPr>
          <w:rFonts w:hint="eastAsia"/>
        </w:rPr>
        <w:t>[来源：SN/T 3023.2，有修改]</w:t>
      </w:r>
    </w:p>
    <w:p>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砂料密度   sand density</w:t>
      </w:r>
    </w:p>
    <w:p>
      <w:pPr>
        <w:pStyle w:val="56"/>
        <w:ind w:firstLine="420"/>
      </w:pPr>
      <w:r>
        <w:rPr>
          <w:rFonts w:hint="eastAsia"/>
        </w:rPr>
        <w:t>运砂车或运砂船待发状态下的单位体积（包括颗粒间的孔隙和水分）砂料的质量（用符号ρ表示）。</w:t>
      </w:r>
    </w:p>
    <w:p>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密度体积法  weighting method by multiplying density and volume</w:t>
      </w:r>
    </w:p>
    <w:p>
      <w:pPr>
        <w:pStyle w:val="56"/>
        <w:ind w:firstLine="420"/>
      </w:pPr>
      <w:r>
        <w:rPr>
          <w:rFonts w:hint="eastAsia"/>
        </w:rPr>
        <w:t>采用运砂船内装载砂料的密度和体积的乘积计量实际载运量的方法。</w:t>
      </w:r>
    </w:p>
    <w:p>
      <w:pPr>
        <w:pStyle w:val="104"/>
        <w:spacing w:before="312" w:after="312"/>
      </w:pPr>
      <w:bookmarkStart w:id="53" w:name="_Toc180951418"/>
      <w:bookmarkStart w:id="54" w:name="_Toc180943047"/>
      <w:r>
        <w:rPr>
          <w:rFonts w:hint="eastAsia"/>
        </w:rPr>
        <w:t>计量指标和方法</w:t>
      </w:r>
      <w:bookmarkEnd w:id="53"/>
      <w:bookmarkEnd w:id="54"/>
    </w:p>
    <w:p>
      <w:pPr>
        <w:pStyle w:val="105"/>
        <w:spacing w:before="156" w:after="156"/>
      </w:pPr>
      <w:bookmarkStart w:id="55" w:name="_Toc180951419"/>
      <w:bookmarkStart w:id="56" w:name="_Toc180943048"/>
      <w:r>
        <w:rPr>
          <w:rFonts w:hint="eastAsia"/>
        </w:rPr>
        <w:t>一般规定</w:t>
      </w:r>
      <w:bookmarkEnd w:id="55"/>
      <w:bookmarkEnd w:id="56"/>
    </w:p>
    <w:p>
      <w:pPr>
        <w:pStyle w:val="165"/>
        <w:ind w:left="0"/>
      </w:pPr>
      <w:r>
        <w:rPr>
          <w:rFonts w:hint="eastAsia"/>
        </w:rPr>
        <w:t>河道砂石装运采用实际载运量进行计量，用于记录和掌握施工现场车船运输待发时的重量，为现场监管和监督检查提供基本信息。</w:t>
      </w:r>
    </w:p>
    <w:p>
      <w:pPr>
        <w:pStyle w:val="165"/>
        <w:ind w:left="0"/>
      </w:pPr>
      <w:r>
        <w:rPr>
          <w:rFonts w:hint="eastAsia"/>
        </w:rPr>
        <w:t>河道砂石的实际载运量的计量方法与装运工具及施工方式有关，分为3种类型，见表1。</w:t>
      </w:r>
    </w:p>
    <w:p>
      <w:pPr>
        <w:pStyle w:val="112"/>
        <w:spacing w:before="156" w:after="156"/>
      </w:pPr>
      <w:r>
        <w:rPr>
          <w:rFonts w:hint="eastAsia"/>
        </w:rPr>
        <w:t>河道砂石装运计量方法分类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1559"/>
        <w:gridCol w:w="1559"/>
        <w:gridCol w:w="3119"/>
        <w:gridCol w:w="1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vAlign w:val="center"/>
          </w:tcPr>
          <w:p>
            <w:pPr>
              <w:pStyle w:val="178"/>
            </w:pPr>
            <w:r>
              <w:rPr>
                <w:rFonts w:hint="eastAsia" w:ascii="Times New Roman"/>
                <w:b/>
                <w:bCs/>
                <w:szCs w:val="18"/>
              </w:rPr>
              <w:t>类型</w:t>
            </w:r>
          </w:p>
        </w:tc>
        <w:tc>
          <w:tcPr>
            <w:tcW w:w="1559" w:type="dxa"/>
            <w:vAlign w:val="center"/>
          </w:tcPr>
          <w:p>
            <w:pPr>
              <w:pStyle w:val="178"/>
            </w:pPr>
            <w:r>
              <w:rPr>
                <w:rFonts w:hint="eastAsia" w:ascii="Times New Roman"/>
                <w:b/>
                <w:bCs/>
                <w:szCs w:val="18"/>
              </w:rPr>
              <w:t>砂石质地</w:t>
            </w:r>
          </w:p>
        </w:tc>
        <w:tc>
          <w:tcPr>
            <w:tcW w:w="1559" w:type="dxa"/>
            <w:vAlign w:val="center"/>
          </w:tcPr>
          <w:p>
            <w:pPr>
              <w:pStyle w:val="178"/>
            </w:pPr>
            <w:r>
              <w:rPr>
                <w:rFonts w:hint="eastAsia" w:ascii="Times New Roman"/>
                <w:b/>
                <w:bCs/>
                <w:szCs w:val="18"/>
              </w:rPr>
              <w:t>施工区位置</w:t>
            </w:r>
          </w:p>
        </w:tc>
        <w:tc>
          <w:tcPr>
            <w:tcW w:w="3119" w:type="dxa"/>
            <w:vAlign w:val="center"/>
          </w:tcPr>
          <w:p>
            <w:pPr>
              <w:pStyle w:val="178"/>
            </w:pPr>
            <w:r>
              <w:rPr>
                <w:rFonts w:hint="eastAsia" w:ascii="Times New Roman"/>
                <w:b/>
                <w:bCs/>
                <w:szCs w:val="18"/>
              </w:rPr>
              <w:t>施工作业方式</w:t>
            </w:r>
          </w:p>
        </w:tc>
        <w:tc>
          <w:tcPr>
            <w:tcW w:w="1547" w:type="dxa"/>
            <w:vAlign w:val="center"/>
          </w:tcPr>
          <w:p>
            <w:pPr>
              <w:pStyle w:val="178"/>
            </w:pPr>
            <w:r>
              <w:rPr>
                <w:rFonts w:hint="eastAsia" w:ascii="Times New Roman"/>
                <w:b/>
                <w:bCs/>
                <w:szCs w:val="18"/>
              </w:rPr>
              <w:t>运输方式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Align w:val="center"/>
          </w:tcPr>
          <w:p>
            <w:pPr>
              <w:pStyle w:val="178"/>
            </w:pPr>
            <w:r>
              <w:rPr>
                <w:rFonts w:hint="eastAsia" w:ascii="Times New Roman"/>
                <w:szCs w:val="18"/>
              </w:rPr>
              <w:t>装填砂石至运砂车</w:t>
            </w:r>
          </w:p>
        </w:tc>
        <w:tc>
          <w:tcPr>
            <w:tcW w:w="1559" w:type="dxa"/>
            <w:vAlign w:val="center"/>
          </w:tcPr>
          <w:p>
            <w:pPr>
              <w:pStyle w:val="178"/>
              <w:rPr>
                <w:rFonts w:hint="eastAsia" w:hAnsi="宋体"/>
              </w:rPr>
            </w:pPr>
            <w:r>
              <w:rPr>
                <w:rFonts w:hint="eastAsia" w:hAnsi="宋体"/>
                <w:szCs w:val="18"/>
              </w:rPr>
              <w:t>石料、砂料或砂石混合料</w:t>
            </w:r>
          </w:p>
        </w:tc>
        <w:tc>
          <w:tcPr>
            <w:tcW w:w="1559" w:type="dxa"/>
            <w:vAlign w:val="center"/>
          </w:tcPr>
          <w:p>
            <w:pPr>
              <w:pStyle w:val="178"/>
            </w:pPr>
            <w:r>
              <w:rPr>
                <w:rFonts w:hint="eastAsia" w:ascii="Times New Roman"/>
                <w:szCs w:val="18"/>
              </w:rPr>
              <w:t>施工范围处于岸边</w:t>
            </w:r>
          </w:p>
        </w:tc>
        <w:tc>
          <w:tcPr>
            <w:tcW w:w="3119" w:type="dxa"/>
            <w:vAlign w:val="center"/>
          </w:tcPr>
          <w:p>
            <w:pPr>
              <w:pStyle w:val="178"/>
            </w:pPr>
            <w:r>
              <w:rPr>
                <w:rFonts w:hint="eastAsia" w:ascii="Times New Roman"/>
                <w:szCs w:val="18"/>
              </w:rPr>
              <w:t>采用铲斗或抓斗等机械式挖泥船、挖掘机装填砂石至运砂车</w:t>
            </w:r>
          </w:p>
        </w:tc>
        <w:tc>
          <w:tcPr>
            <w:tcW w:w="1547" w:type="dxa"/>
            <w:vAlign w:val="center"/>
          </w:tcPr>
          <w:p>
            <w:pPr>
              <w:pStyle w:val="178"/>
            </w:pPr>
            <w:r>
              <w:rPr>
                <w:rFonts w:hint="eastAsia" w:ascii="Times New Roman"/>
                <w:szCs w:val="18"/>
              </w:rPr>
              <w:t>陆路运输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Align w:val="center"/>
          </w:tcPr>
          <w:p>
            <w:pPr>
              <w:pStyle w:val="178"/>
            </w:pPr>
            <w:r>
              <w:rPr>
                <w:rFonts w:hint="eastAsia" w:ascii="Times New Roman"/>
                <w:szCs w:val="18"/>
              </w:rPr>
              <w:t>装填砂石至运砂船</w:t>
            </w:r>
          </w:p>
        </w:tc>
        <w:tc>
          <w:tcPr>
            <w:tcW w:w="1559" w:type="dxa"/>
            <w:vAlign w:val="center"/>
          </w:tcPr>
          <w:p>
            <w:pPr>
              <w:pStyle w:val="178"/>
              <w:rPr>
                <w:rFonts w:hint="eastAsia" w:hAnsi="宋体"/>
              </w:rPr>
            </w:pPr>
            <w:r>
              <w:rPr>
                <w:rFonts w:hint="eastAsia" w:hAnsi="宋体"/>
                <w:szCs w:val="18"/>
              </w:rPr>
              <w:t>石料或砂石混合料</w:t>
            </w:r>
          </w:p>
        </w:tc>
        <w:tc>
          <w:tcPr>
            <w:tcW w:w="1559" w:type="dxa"/>
            <w:vAlign w:val="center"/>
          </w:tcPr>
          <w:p>
            <w:pPr>
              <w:pStyle w:val="178"/>
            </w:pPr>
            <w:r>
              <w:rPr>
                <w:rFonts w:hint="eastAsia" w:ascii="Times New Roman"/>
                <w:szCs w:val="18"/>
              </w:rPr>
              <w:t>施工范围处于河床中</w:t>
            </w:r>
          </w:p>
        </w:tc>
        <w:tc>
          <w:tcPr>
            <w:tcW w:w="3119" w:type="dxa"/>
            <w:vAlign w:val="center"/>
          </w:tcPr>
          <w:p>
            <w:pPr>
              <w:pStyle w:val="178"/>
            </w:pPr>
            <w:r>
              <w:rPr>
                <w:rFonts w:hint="eastAsia" w:ascii="Times New Roman"/>
                <w:szCs w:val="18"/>
              </w:rPr>
              <w:t>采用抓斗或链斗等机械式挖泥船、筛洗砂设备装填砂石至运砂船</w:t>
            </w:r>
          </w:p>
        </w:tc>
        <w:tc>
          <w:tcPr>
            <w:tcW w:w="1547" w:type="dxa"/>
            <w:vAlign w:val="center"/>
          </w:tcPr>
          <w:p>
            <w:pPr>
              <w:pStyle w:val="178"/>
            </w:pPr>
            <w:r>
              <w:rPr>
                <w:rFonts w:hint="eastAsia" w:ascii="Times New Roman"/>
                <w:szCs w:val="18"/>
              </w:rPr>
              <w:t>水路运输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Align w:val="center"/>
          </w:tcPr>
          <w:p>
            <w:pPr>
              <w:pStyle w:val="178"/>
            </w:pPr>
            <w:r>
              <w:rPr>
                <w:rFonts w:hint="eastAsia" w:ascii="Times New Roman"/>
                <w:szCs w:val="18"/>
              </w:rPr>
              <w:t>吹填砂料至运砂船</w:t>
            </w:r>
          </w:p>
        </w:tc>
        <w:tc>
          <w:tcPr>
            <w:tcW w:w="1559" w:type="dxa"/>
            <w:vAlign w:val="center"/>
          </w:tcPr>
          <w:p>
            <w:pPr>
              <w:pStyle w:val="178"/>
              <w:rPr>
                <w:rFonts w:hint="eastAsia" w:hAnsi="宋体"/>
              </w:rPr>
            </w:pPr>
            <w:r>
              <w:rPr>
                <w:rFonts w:hint="eastAsia" w:hAnsi="宋体"/>
                <w:szCs w:val="18"/>
              </w:rPr>
              <w:t>砂料</w:t>
            </w:r>
          </w:p>
        </w:tc>
        <w:tc>
          <w:tcPr>
            <w:tcW w:w="1559" w:type="dxa"/>
            <w:vAlign w:val="center"/>
          </w:tcPr>
          <w:p>
            <w:pPr>
              <w:pStyle w:val="178"/>
            </w:pPr>
            <w:r>
              <w:rPr>
                <w:rFonts w:hint="eastAsia" w:ascii="Times New Roman"/>
                <w:szCs w:val="18"/>
              </w:rPr>
              <w:t>施工范围处于河床中</w:t>
            </w:r>
          </w:p>
        </w:tc>
        <w:tc>
          <w:tcPr>
            <w:tcW w:w="3119" w:type="dxa"/>
            <w:vAlign w:val="center"/>
          </w:tcPr>
          <w:p>
            <w:pPr>
              <w:pStyle w:val="178"/>
            </w:pPr>
            <w:r>
              <w:rPr>
                <w:rFonts w:hint="eastAsia" w:ascii="Times New Roman"/>
                <w:szCs w:val="18"/>
              </w:rPr>
              <w:t>采用绞吸、耙吸等水力式挖泥船吹填砂料至运砂船</w:t>
            </w:r>
          </w:p>
        </w:tc>
        <w:tc>
          <w:tcPr>
            <w:tcW w:w="1547" w:type="dxa"/>
            <w:vAlign w:val="center"/>
          </w:tcPr>
          <w:p>
            <w:pPr>
              <w:pStyle w:val="178"/>
            </w:pPr>
            <w:r>
              <w:rPr>
                <w:rFonts w:hint="eastAsia" w:ascii="Times New Roman"/>
                <w:szCs w:val="18"/>
              </w:rPr>
              <w:t>水路运输</w:t>
            </w:r>
          </w:p>
        </w:tc>
      </w:tr>
    </w:tbl>
    <w:p>
      <w:pPr>
        <w:pStyle w:val="165"/>
        <w:ind w:left="0"/>
      </w:pPr>
      <w:r>
        <w:rPr>
          <w:rFonts w:hint="eastAsia"/>
        </w:rPr>
        <w:t>装填至运砂车的实际载运量可采用逐一过磅称重的方法进行计重。装填至运砂船的实际载运量可采用水尺计重法进行计重。吹填至运砂船的实际载运量可采用密度体积法进行计重。</w:t>
      </w:r>
    </w:p>
    <w:p>
      <w:pPr>
        <w:pStyle w:val="165"/>
        <w:ind w:left="0"/>
      </w:pPr>
      <w:r>
        <w:rPr>
          <w:rFonts w:hint="eastAsia"/>
        </w:rPr>
        <w:t>采用密度体积法进行计重时，砂料密度样品的采集可采用附录A所示的装置进行。</w:t>
      </w:r>
    </w:p>
    <w:p>
      <w:pPr>
        <w:pStyle w:val="105"/>
        <w:spacing w:before="156" w:after="156"/>
      </w:pPr>
      <w:bookmarkStart w:id="57" w:name="_Toc180951420"/>
      <w:bookmarkStart w:id="58" w:name="_Toc180943049"/>
      <w:r>
        <w:rPr>
          <w:rFonts w:hint="eastAsia"/>
        </w:rPr>
        <w:t>运砂车实际载运量</w:t>
      </w:r>
      <w:bookmarkEnd w:id="57"/>
      <w:bookmarkEnd w:id="58"/>
    </w:p>
    <w:p>
      <w:pPr>
        <w:pStyle w:val="56"/>
        <w:ind w:firstLine="420"/>
      </w:pPr>
      <w:r>
        <w:rPr>
          <w:rFonts w:hint="eastAsia"/>
        </w:rPr>
        <w:t>沥水结束后对运砂车逐一过磅称重，通过运砂车和砂石的总重量减去运砂车的重量进行计算。详见公式（1）。</w:t>
      </w:r>
    </w:p>
    <w:p>
      <w:pPr>
        <w:pStyle w:val="113"/>
        <w:rPr>
          <w:rFonts w:hint="eastAsia"/>
        </w:rPr>
      </w:pPr>
      <w:r>
        <w:tab/>
      </w:r>
      <m:oMath>
        <m:sSub>
          <m:sSubPr>
            <m:ctrlPr>
              <w:rPr>
                <w:rFonts w:ascii="Cambria Math" w:hAnsi="Cambria Math"/>
                <w:i/>
                <w:kern w:val="0"/>
              </w:rPr>
            </m:ctrlPr>
          </m:sSubPr>
          <m:e>
            <m:r>
              <m:rPr/>
              <w:rPr>
                <w:rFonts w:hint="eastAsia" w:ascii="Cambria Math" w:hAnsi="Cambria Math"/>
                <w:kern w:val="0"/>
              </w:rPr>
              <m:t>W</m:t>
            </m:r>
            <m:ctrlPr>
              <w:rPr>
                <w:rFonts w:ascii="Cambria Math" w:hAnsi="Cambria Math"/>
                <w:i/>
                <w:kern w:val="0"/>
              </w:rPr>
            </m:ctrlPr>
          </m:e>
          <m:sub>
            <m:r>
              <m:rPr>
                <m:sty m:val="p"/>
              </m:rPr>
              <w:rPr>
                <w:rFonts w:hint="eastAsia" w:ascii="Cambria Math" w:hAnsi="Cambria Math"/>
                <w:kern w:val="0"/>
              </w:rPr>
              <m:t>车实</m:t>
            </m:r>
            <m:ctrlPr>
              <w:rPr>
                <w:rFonts w:ascii="Cambria Math" w:hAnsi="Cambria Math"/>
                <w:i/>
                <w:kern w:val="0"/>
              </w:rPr>
            </m:ctrlPr>
          </m:sub>
        </m:sSub>
        <m:r>
          <m:rPr/>
          <w:rPr>
            <w:rFonts w:hint="eastAsia" w:ascii="Cambria Math" w:hAnsi="Cambria Math"/>
            <w:kern w:val="0"/>
          </w:rPr>
          <m:t>=</m:t>
        </m:r>
        <m:sSub>
          <m:sSubPr>
            <m:ctrlPr>
              <w:rPr>
                <w:rFonts w:ascii="Cambria Math" w:hAnsi="Cambria Math"/>
                <w:i/>
                <w:kern w:val="0"/>
              </w:rPr>
            </m:ctrlPr>
          </m:sSubPr>
          <m:e>
            <m:r>
              <m:rPr/>
              <w:rPr>
                <w:rFonts w:hint="eastAsia" w:ascii="Cambria Math" w:hAnsi="Cambria Math"/>
                <w:kern w:val="0"/>
              </w:rPr>
              <m:t>W</m:t>
            </m:r>
            <m:ctrlPr>
              <w:rPr>
                <w:rFonts w:ascii="Cambria Math" w:hAnsi="Cambria Math"/>
                <w:i/>
                <w:kern w:val="0"/>
              </w:rPr>
            </m:ctrlPr>
          </m:e>
          <m:sub>
            <m:r>
              <m:rPr>
                <m:sty m:val="p"/>
              </m:rPr>
              <w:rPr>
                <w:rFonts w:hint="eastAsia" w:ascii="Cambria Math" w:hAnsi="Cambria Math"/>
                <w:kern w:val="0"/>
              </w:rPr>
              <m:t>总</m:t>
            </m:r>
            <m:ctrlPr>
              <w:rPr>
                <w:rFonts w:ascii="Cambria Math" w:hAnsi="Cambria Math"/>
                <w:i/>
                <w:kern w:val="0"/>
              </w:rPr>
            </m:ctrlPr>
          </m:sub>
        </m:sSub>
        <m:r>
          <m:rPr/>
          <w:rPr>
            <w:rFonts w:ascii="Cambria Math" w:hAnsi="Cambria Math"/>
            <w:kern w:val="0"/>
          </w:rPr>
          <m:t>−</m:t>
        </m:r>
        <m:sSub>
          <m:sSubPr>
            <m:ctrlPr>
              <w:rPr>
                <w:rFonts w:ascii="Cambria Math" w:hAnsi="Cambria Math"/>
                <w:i/>
                <w:kern w:val="0"/>
              </w:rPr>
            </m:ctrlPr>
          </m:sSubPr>
          <m:e>
            <m:r>
              <m:rPr/>
              <w:rPr>
                <w:rFonts w:hint="eastAsia" w:ascii="Cambria Math" w:hAnsi="Cambria Math"/>
                <w:color w:val="000000"/>
                <w:sz w:val="20"/>
                <w:szCs w:val="20"/>
                <w:shd w:val="clear" w:color="auto" w:fill="FFFFFF"/>
              </w:rPr>
              <m:t>W</m:t>
            </m:r>
            <m:ctrlPr>
              <w:rPr>
                <w:rFonts w:ascii="Cambria Math" w:hAnsi="Cambria Math"/>
                <w:i/>
                <w:kern w:val="0"/>
              </w:rPr>
            </m:ctrlPr>
          </m:e>
          <m:sub>
            <m:r>
              <m:rPr>
                <m:sty m:val="p"/>
              </m:rPr>
              <w:rPr>
                <w:rFonts w:hint="eastAsia" w:ascii="Cambria Math" w:hAnsi="Cambria Math"/>
                <w:kern w:val="0"/>
              </w:rPr>
              <m:t>车</m:t>
            </m:r>
            <m:ctrlPr>
              <w:rPr>
                <w:rFonts w:ascii="Cambria Math" w:hAnsi="Cambria Math"/>
                <w:i/>
                <w:kern w:val="0"/>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rPr>
          <w:rFonts w:hint="eastAsia" w:ascii="宋体" w:hAnsi="宋体"/>
        </w:rPr>
      </w:pPr>
      <w:r>
        <w:rPr>
          <w:rFonts w:hint="eastAsia" w:ascii="宋体" w:hAnsi="宋体"/>
        </w:rPr>
        <w:t>式中：</w:t>
      </w:r>
    </w:p>
    <w:p>
      <w:pPr>
        <w:pStyle w:val="13"/>
        <w:snapToGrid w:val="0"/>
        <w:spacing w:before="60" w:after="60" w:line="300" w:lineRule="auto"/>
        <w:ind w:firstLine="420" w:firstLineChars="200"/>
        <w:rPr>
          <w:rFonts w:hint="eastAsia" w:ascii="宋体" w:hAnsi="宋体"/>
          <w:kern w:val="0"/>
        </w:rPr>
      </w:pPr>
      <m:oMath>
        <m:sSub>
          <m:sSubPr>
            <m:ctrlPr>
              <w:rPr>
                <w:rFonts w:ascii="Cambria Math" w:hAnsi="Cambria Math"/>
                <w:i/>
                <w:kern w:val="0"/>
              </w:rPr>
            </m:ctrlPr>
          </m:sSubPr>
          <m:e>
            <m:r>
              <m:rPr/>
              <w:rPr>
                <w:rFonts w:hint="eastAsia" w:ascii="Cambria Math" w:hAnsi="Cambria Math"/>
                <w:kern w:val="0"/>
              </w:rPr>
              <m:t>W</m:t>
            </m:r>
            <m:ctrlPr>
              <w:rPr>
                <w:rFonts w:ascii="Cambria Math" w:hAnsi="Cambria Math"/>
                <w:i/>
                <w:kern w:val="0"/>
              </w:rPr>
            </m:ctrlPr>
          </m:e>
          <m:sub>
            <m:r>
              <m:rPr>
                <m:sty m:val="p"/>
              </m:rPr>
              <w:rPr>
                <w:rFonts w:hint="eastAsia" w:ascii="Cambria Math" w:hAnsi="Cambria Math"/>
                <w:kern w:val="0"/>
              </w:rPr>
              <m:t>车实</m:t>
            </m:r>
            <m:ctrlPr>
              <w:rPr>
                <w:rFonts w:ascii="Cambria Math" w:hAnsi="Cambria Math"/>
                <w:i/>
                <w:kern w:val="0"/>
              </w:rPr>
            </m:ctrlPr>
          </m:sub>
        </m:sSub>
      </m:oMath>
      <w:r>
        <w:rPr>
          <w:rFonts w:hint="eastAsia" w:ascii="宋体" w:hAnsi="宋体"/>
          <w:kern w:val="0"/>
        </w:rPr>
        <w:t>—运砂车实际载运量，单位为吨（t）；</w:t>
      </w:r>
    </w:p>
    <w:p>
      <w:pPr>
        <w:pStyle w:val="13"/>
        <w:snapToGrid w:val="0"/>
        <w:spacing w:before="60" w:after="60" w:line="300" w:lineRule="auto"/>
        <w:ind w:firstLine="420" w:firstLineChars="200"/>
        <w:rPr>
          <w:rFonts w:hint="eastAsia" w:ascii="宋体" w:hAnsi="宋体"/>
          <w:kern w:val="0"/>
        </w:rPr>
      </w:pPr>
      <m:oMath>
        <m:sSub>
          <m:sSubPr>
            <m:ctrlPr>
              <w:rPr>
                <w:rFonts w:ascii="Cambria Math" w:hAnsi="Cambria Math"/>
                <w:i/>
                <w:kern w:val="0"/>
              </w:rPr>
            </m:ctrlPr>
          </m:sSubPr>
          <m:e>
            <m:r>
              <m:rPr/>
              <w:rPr>
                <w:rFonts w:hint="eastAsia" w:ascii="Cambria Math" w:hAnsi="Cambria Math"/>
                <w:kern w:val="0"/>
              </w:rPr>
              <m:t>W</m:t>
            </m:r>
            <m:ctrlPr>
              <w:rPr>
                <w:rFonts w:ascii="Cambria Math" w:hAnsi="Cambria Math"/>
                <w:i/>
                <w:kern w:val="0"/>
              </w:rPr>
            </m:ctrlPr>
          </m:e>
          <m:sub>
            <m:r>
              <m:rPr>
                <m:sty m:val="p"/>
              </m:rPr>
              <w:rPr>
                <w:rFonts w:hint="eastAsia" w:ascii="Cambria Math" w:hAnsi="Cambria Math"/>
                <w:kern w:val="0"/>
              </w:rPr>
              <m:t>总</m:t>
            </m:r>
            <m:ctrlPr>
              <w:rPr>
                <w:rFonts w:ascii="Cambria Math" w:hAnsi="Cambria Math"/>
                <w:i/>
                <w:kern w:val="0"/>
              </w:rPr>
            </m:ctrlPr>
          </m:sub>
        </m:sSub>
      </m:oMath>
      <w:r>
        <w:rPr>
          <w:rFonts w:hint="eastAsia" w:ascii="宋体" w:hAnsi="宋体"/>
          <w:kern w:val="0"/>
        </w:rPr>
        <w:t>—运砂车和砂石的总重量，单位为吨（t）；</w:t>
      </w:r>
    </w:p>
    <w:p>
      <w:pPr>
        <w:pStyle w:val="13"/>
        <w:snapToGrid w:val="0"/>
        <w:spacing w:before="60" w:after="60" w:line="300" w:lineRule="auto"/>
        <w:ind w:firstLine="420" w:firstLineChars="200"/>
        <w:rPr>
          <w:rFonts w:hint="eastAsia" w:ascii="宋体" w:hAnsi="宋体"/>
          <w:kern w:val="0"/>
        </w:rPr>
      </w:pPr>
      <m:oMath>
        <m:sSub>
          <m:sSubPr>
            <m:ctrlPr>
              <w:rPr>
                <w:rFonts w:ascii="Cambria Math" w:hAnsi="Cambria Math"/>
                <w:i/>
                <w:kern w:val="0"/>
              </w:rPr>
            </m:ctrlPr>
          </m:sSubPr>
          <m:e>
            <m:r>
              <m:rPr/>
              <w:rPr>
                <w:rFonts w:hint="eastAsia" w:ascii="Cambria Math" w:hAnsi="Cambria Math"/>
                <w:kern w:val="0"/>
              </w:rPr>
              <m:t>W</m:t>
            </m:r>
            <m:ctrlPr>
              <w:rPr>
                <w:rFonts w:ascii="Cambria Math" w:hAnsi="Cambria Math"/>
                <w:i/>
                <w:kern w:val="0"/>
              </w:rPr>
            </m:ctrlPr>
          </m:e>
          <m:sub>
            <m:r>
              <m:rPr>
                <m:sty m:val="p"/>
              </m:rPr>
              <w:rPr>
                <w:rFonts w:hint="eastAsia" w:ascii="Cambria Math" w:hAnsi="Cambria Math"/>
                <w:kern w:val="0"/>
              </w:rPr>
              <m:t>车</m:t>
            </m:r>
            <m:ctrlPr>
              <w:rPr>
                <w:rFonts w:ascii="Cambria Math" w:hAnsi="Cambria Math"/>
                <w:i/>
                <w:kern w:val="0"/>
              </w:rPr>
            </m:ctrlPr>
          </m:sub>
        </m:sSub>
      </m:oMath>
      <w:r>
        <w:rPr>
          <w:rFonts w:hint="eastAsia" w:ascii="宋体" w:hAnsi="宋体"/>
          <w:kern w:val="0"/>
        </w:rPr>
        <w:t>—运砂车的重量，单位为吨（t）。</w:t>
      </w:r>
    </w:p>
    <w:p>
      <w:pPr>
        <w:pStyle w:val="105"/>
        <w:spacing w:before="156" w:after="156"/>
      </w:pPr>
      <w:bookmarkStart w:id="59" w:name="_Toc180943050"/>
      <w:bookmarkStart w:id="60" w:name="_Toc180951421"/>
      <w:r>
        <w:rPr>
          <w:rFonts w:hint="eastAsia"/>
        </w:rPr>
        <w:t>运砂船实际载运量</w:t>
      </w:r>
      <w:bookmarkEnd w:id="59"/>
      <w:bookmarkEnd w:id="60"/>
    </w:p>
    <w:p>
      <w:pPr>
        <w:pStyle w:val="65"/>
        <w:spacing w:before="156" w:after="156"/>
        <w:ind w:left="0"/>
      </w:pPr>
      <w:r>
        <w:rPr>
          <w:rFonts w:hint="eastAsia"/>
        </w:rPr>
        <w:t>水尺计重法</w:t>
      </w:r>
    </w:p>
    <w:p>
      <w:pPr>
        <w:pStyle w:val="165"/>
        <w:numPr>
          <w:ilvl w:val="0"/>
          <w:numId w:val="0"/>
        </w:numPr>
        <w:ind w:firstLine="420" w:firstLineChars="200"/>
      </w:pPr>
      <w:r>
        <w:rPr>
          <w:rFonts w:hint="eastAsia"/>
        </w:rPr>
        <w:t>观测运砂船装载前后的吃水，并依据船舶图表，经校正，查算船舶排水量，计算砂石装运重量，详见公式（2）。</w:t>
      </w:r>
    </w:p>
    <w:p>
      <w:pPr>
        <w:pStyle w:val="165"/>
        <w:numPr>
          <w:ilvl w:val="0"/>
          <w:numId w:val="0"/>
        </w:numPr>
        <w:ind w:firstLine="420" w:firstLineChars="200"/>
      </w:pPr>
    </w:p>
    <w:p>
      <w:pPr>
        <w:pStyle w:val="113"/>
        <w:rPr>
          <w:rFonts w:hint="eastAsia"/>
        </w:rPr>
      </w:pPr>
      <w:r>
        <w:tab/>
      </w:r>
      <m:oMath>
        <m:sSub>
          <m:sSubPr>
            <m:ctrlPr>
              <w:rPr>
                <w:rFonts w:ascii="Cambria Math" w:hAnsi="Cambria Math"/>
                <w:i/>
                <w:kern w:val="0"/>
              </w:rPr>
            </m:ctrlPr>
          </m:sSubPr>
          <m:e>
            <m:r>
              <m:rPr/>
              <w:rPr>
                <w:rFonts w:hint="eastAsia" w:ascii="Cambria Math" w:hAnsi="Cambria Math"/>
                <w:kern w:val="0"/>
              </w:rPr>
              <m:t>W</m:t>
            </m:r>
            <m:ctrlPr>
              <w:rPr>
                <w:rFonts w:ascii="Cambria Math" w:hAnsi="Cambria Math"/>
                <w:i/>
                <w:kern w:val="0"/>
              </w:rPr>
            </m:ctrlPr>
          </m:e>
          <m:sub>
            <m:r>
              <m:rPr>
                <m:sty m:val="p"/>
              </m:rPr>
              <w:rPr>
                <w:rFonts w:hint="eastAsia" w:ascii="Cambria Math" w:hAnsi="Cambria Math"/>
                <w:kern w:val="0"/>
              </w:rPr>
              <m:t>船实</m:t>
            </m:r>
            <m:ctrlPr>
              <w:rPr>
                <w:rFonts w:ascii="Cambria Math" w:hAnsi="Cambria Math"/>
                <w:i/>
                <w:kern w:val="0"/>
              </w:rPr>
            </m:ctrlPr>
          </m:sub>
        </m:sSub>
        <m:r>
          <m:rPr/>
          <w:rPr>
            <w:rFonts w:ascii="Cambria Math" w:hAnsi="Cambria Math"/>
            <w:kern w:val="0"/>
          </w:rPr>
          <m:t>=</m:t>
        </m:r>
        <m:r>
          <m:rPr/>
          <w:rPr>
            <w:rFonts w:hint="eastAsia" w:ascii="Cambria Math" w:hAnsi="Cambria Math"/>
            <w:kern w:val="0"/>
          </w:rPr>
          <m:t>B</m:t>
        </m:r>
        <m:r>
          <m:rPr/>
          <w:rPr>
            <w:rFonts w:ascii="Cambria Math" w:hAnsi="Cambria Math"/>
            <w:kern w:val="0"/>
          </w:rPr>
          <m:t>−</m:t>
        </m:r>
        <m:r>
          <m:rPr/>
          <w:rPr>
            <w:rFonts w:hint="eastAsia" w:ascii="Cambria Math" w:hAnsi="Cambria Math"/>
            <w:kern w:val="0"/>
          </w:rPr>
          <m:t>A</m:t>
        </m:r>
        <m:r>
          <m:rPr>
            <m:sty m:val="p"/>
          </m:rPr>
          <w:rPr>
            <w:rFonts w:hint="eastAsia" w:ascii="Cambria Math" w:hAnsi="Cambria Math"/>
            <w:kern w:val="0"/>
          </w:rPr>
          <m:t xml:space="preserve">  </m:t>
        </m:r>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rPr>
          <w:rFonts w:hint="eastAsia" w:ascii="宋体" w:hAnsi="宋体"/>
        </w:rPr>
      </w:pPr>
      <w:r>
        <w:rPr>
          <w:rFonts w:hint="eastAsia" w:ascii="宋体" w:hAnsi="宋体"/>
        </w:rPr>
        <w:t>式中：</w:t>
      </w:r>
    </w:p>
    <w:p>
      <w:pPr>
        <w:pStyle w:val="13"/>
        <w:snapToGrid w:val="0"/>
        <w:spacing w:before="60" w:after="60" w:line="300" w:lineRule="auto"/>
        <w:ind w:firstLine="420"/>
        <w:rPr>
          <w:rFonts w:hint="eastAsia" w:ascii="宋体" w:hAnsi="宋体"/>
          <w:kern w:val="0"/>
        </w:rPr>
      </w:pPr>
      <m:oMath>
        <m:sSub>
          <m:sSubPr>
            <m:ctrlPr>
              <w:rPr>
                <w:rFonts w:ascii="Cambria Math" w:hAnsi="Cambria Math"/>
                <w:i/>
                <w:kern w:val="0"/>
              </w:rPr>
            </m:ctrlPr>
          </m:sSubPr>
          <m:e>
            <m:r>
              <m:rPr/>
              <w:rPr>
                <w:rFonts w:hint="eastAsia" w:ascii="Cambria Math" w:hAnsi="Cambria Math"/>
                <w:kern w:val="0"/>
              </w:rPr>
              <m:t>W</m:t>
            </m:r>
            <m:ctrlPr>
              <w:rPr>
                <w:rFonts w:ascii="Cambria Math" w:hAnsi="Cambria Math"/>
                <w:i/>
                <w:kern w:val="0"/>
              </w:rPr>
            </m:ctrlPr>
          </m:e>
          <m:sub>
            <m:r>
              <m:rPr>
                <m:sty m:val="p"/>
              </m:rPr>
              <w:rPr>
                <w:rFonts w:hint="eastAsia" w:ascii="Cambria Math" w:hAnsi="Cambria Math"/>
                <w:kern w:val="0"/>
              </w:rPr>
              <m:t>船实</m:t>
            </m:r>
            <m:ctrlPr>
              <w:rPr>
                <w:rFonts w:ascii="Cambria Math" w:hAnsi="Cambria Math"/>
                <w:i/>
                <w:kern w:val="0"/>
              </w:rPr>
            </m:ctrlPr>
          </m:sub>
        </m:sSub>
      </m:oMath>
      <w:r>
        <w:rPr>
          <w:rFonts w:hint="eastAsia" w:ascii="宋体" w:hAnsi="宋体"/>
          <w:kern w:val="0"/>
        </w:rPr>
        <w:t>——运砂船实际载运量，单位为吨（t）；</w:t>
      </w:r>
    </w:p>
    <w:p>
      <w:pPr>
        <w:pStyle w:val="13"/>
        <w:snapToGrid w:val="0"/>
        <w:spacing w:before="60" w:after="60" w:line="300" w:lineRule="auto"/>
        <w:ind w:firstLine="420"/>
        <w:rPr>
          <w:rFonts w:hint="eastAsia" w:ascii="宋体" w:hAnsi="宋体"/>
          <w:kern w:val="0"/>
        </w:rPr>
      </w:pPr>
      <w:r>
        <w:rPr>
          <w:rFonts w:ascii="宋体" w:hAnsi="宋体"/>
          <w:kern w:val="0"/>
        </w:rPr>
        <w:t>B</w:t>
      </w:r>
      <w:r>
        <w:rPr>
          <w:rFonts w:hint="eastAsia" w:ascii="宋体" w:hAnsi="宋体"/>
          <w:kern w:val="0"/>
        </w:rPr>
        <w:t>——砂石装载后船舶实际排水量，单位为吨（t）；</w:t>
      </w:r>
    </w:p>
    <w:p>
      <w:pPr>
        <w:pStyle w:val="13"/>
        <w:snapToGrid w:val="0"/>
        <w:spacing w:before="60" w:after="60" w:line="300" w:lineRule="auto"/>
        <w:ind w:firstLine="420"/>
        <w:rPr>
          <w:rFonts w:hint="eastAsia" w:ascii="宋体" w:hAnsi="宋体"/>
          <w:kern w:val="0"/>
        </w:rPr>
      </w:pPr>
      <w:r>
        <w:rPr>
          <w:rFonts w:hint="eastAsia" w:ascii="宋体" w:hAnsi="宋体"/>
          <w:kern w:val="0"/>
        </w:rPr>
        <w:t>A—砂石装载前船舶实际排水量，单位为吨（t）。</w:t>
      </w:r>
    </w:p>
    <w:p>
      <w:pPr>
        <w:pStyle w:val="65"/>
        <w:spacing w:before="156" w:after="156"/>
        <w:ind w:left="0"/>
      </w:pPr>
      <w:r>
        <w:rPr>
          <w:rFonts w:hint="eastAsia"/>
        </w:rPr>
        <w:t>密度体积法</w:t>
      </w:r>
    </w:p>
    <w:p>
      <w:pPr>
        <w:pStyle w:val="165"/>
        <w:numPr>
          <w:ilvl w:val="0"/>
          <w:numId w:val="0"/>
        </w:numPr>
        <w:ind w:firstLine="420" w:firstLineChars="200"/>
      </w:pPr>
      <w:r>
        <w:rPr>
          <w:rFonts w:hint="eastAsia"/>
        </w:rPr>
        <w:t>通过测定运砂船沥水结束后砂料密度和体积进行计算，详见公式（3）。</w:t>
      </w:r>
    </w:p>
    <w:p>
      <w:pPr>
        <w:pStyle w:val="113"/>
        <w:rPr>
          <w:rFonts w:hint="eastAsia"/>
        </w:rPr>
      </w:pPr>
      <w:r>
        <w:tab/>
      </w:r>
      <m:oMath>
        <m:sSub>
          <m:sSubPr>
            <m:ctrlPr>
              <w:rPr>
                <w:rFonts w:ascii="Cambria Math" w:hAnsi="Cambria Math"/>
                <w:i/>
                <w:kern w:val="0"/>
              </w:rPr>
            </m:ctrlPr>
          </m:sSubPr>
          <m:e>
            <m:r>
              <m:rPr/>
              <w:rPr>
                <w:rFonts w:hint="eastAsia" w:ascii="Cambria Math" w:hAnsi="Cambria Math"/>
                <w:kern w:val="0"/>
              </w:rPr>
              <m:t>W</m:t>
            </m:r>
            <m:ctrlPr>
              <w:rPr>
                <w:rFonts w:ascii="Cambria Math" w:hAnsi="Cambria Math"/>
                <w:i/>
                <w:kern w:val="0"/>
              </w:rPr>
            </m:ctrlPr>
          </m:e>
          <m:sub>
            <m:r>
              <m:rPr>
                <m:sty m:val="p"/>
              </m:rPr>
              <w:rPr>
                <w:rFonts w:hint="eastAsia" w:ascii="Cambria Math" w:hAnsi="Cambria Math"/>
                <w:kern w:val="0"/>
              </w:rPr>
              <m:t>船实</m:t>
            </m:r>
            <m:ctrlPr>
              <w:rPr>
                <w:rFonts w:ascii="Cambria Math" w:hAnsi="Cambria Math"/>
                <w:i/>
                <w:kern w:val="0"/>
              </w:rPr>
            </m:ctrlPr>
          </m:sub>
        </m:sSub>
        <m:r>
          <m:rPr/>
          <w:rPr>
            <w:rFonts w:hint="eastAsia" w:ascii="Cambria Math" w:hAnsi="Cambria Math"/>
            <w:kern w:val="0"/>
          </w:rPr>
          <m:t>=</m:t>
        </m:r>
        <m:r>
          <m:rPr/>
          <w:rPr>
            <w:rFonts w:ascii="Cambria Math" w:hAnsi="Cambria Math"/>
            <w:color w:val="000000"/>
            <w:shd w:val="clear" w:color="auto" w:fill="FFFFFF"/>
          </w:rPr>
          <m:t>ρ</m:t>
        </m:r>
        <m:r>
          <m:rPr/>
          <w:rPr>
            <w:rFonts w:hint="eastAsia" w:ascii="Cambria Math" w:hAnsi="Cambria Math"/>
            <w:kern w:val="0"/>
          </w:rPr>
          <m:t>×</m:t>
        </m:r>
        <m:sSub>
          <m:sSubPr>
            <m:ctrlPr>
              <w:rPr>
                <w:rFonts w:ascii="Cambria Math" w:hAnsi="Cambria Math"/>
                <w:i/>
                <w:kern w:val="0"/>
              </w:rPr>
            </m:ctrlPr>
          </m:sSubPr>
          <m:e>
            <m:r>
              <m:rPr/>
              <w:rPr>
                <w:rFonts w:hint="eastAsia" w:ascii="Cambria Math" w:hAnsi="Cambria Math"/>
                <w:kern w:val="0"/>
              </w:rPr>
              <m:t>V</m:t>
            </m:r>
            <m:ctrlPr>
              <w:rPr>
                <w:rFonts w:ascii="Cambria Math" w:hAnsi="Cambria Math"/>
                <w:i/>
                <w:kern w:val="0"/>
              </w:rPr>
            </m:ctrlPr>
          </m:e>
          <m:sub>
            <m:r>
              <m:rPr>
                <m:sty m:val="p"/>
              </m:rPr>
              <w:rPr>
                <w:rFonts w:hint="eastAsia" w:ascii="Cambria Math" w:hAnsi="Cambria Math"/>
                <w:kern w:val="0"/>
              </w:rPr>
              <m:t>船</m:t>
            </m:r>
            <m:ctrlPr>
              <w:rPr>
                <w:rFonts w:ascii="Cambria Math" w:hAnsi="Cambria Math"/>
                <w:i/>
                <w:kern w:val="0"/>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rPr>
          <w:rFonts w:hint="eastAsia" w:ascii="宋体" w:hAnsi="宋体"/>
        </w:rPr>
      </w:pPr>
      <w:r>
        <w:rPr>
          <w:rFonts w:hint="eastAsia" w:ascii="宋体" w:hAnsi="宋体"/>
        </w:rPr>
        <w:t>式中：</w:t>
      </w:r>
    </w:p>
    <w:p>
      <w:pPr>
        <w:pStyle w:val="13"/>
        <w:snapToGrid w:val="0"/>
        <w:spacing w:before="60" w:after="60" w:line="300" w:lineRule="auto"/>
        <w:ind w:firstLine="420" w:firstLineChars="200"/>
        <w:rPr>
          <w:rFonts w:hint="eastAsia" w:ascii="宋体" w:hAnsi="宋体"/>
          <w:kern w:val="0"/>
        </w:rPr>
      </w:pPr>
      <m:oMath>
        <m:sSub>
          <m:sSubPr>
            <m:ctrlPr>
              <w:rPr>
                <w:rFonts w:ascii="Cambria Math" w:hAnsi="Cambria Math"/>
                <w:i/>
                <w:kern w:val="0"/>
              </w:rPr>
            </m:ctrlPr>
          </m:sSubPr>
          <m:e>
            <m:r>
              <m:rPr/>
              <w:rPr>
                <w:rFonts w:hint="eastAsia" w:ascii="Cambria Math" w:hAnsi="Cambria Math"/>
                <w:kern w:val="0"/>
              </w:rPr>
              <m:t>W</m:t>
            </m:r>
            <m:ctrlPr>
              <w:rPr>
                <w:rFonts w:ascii="Cambria Math" w:hAnsi="Cambria Math"/>
                <w:i/>
                <w:kern w:val="0"/>
              </w:rPr>
            </m:ctrlPr>
          </m:e>
          <m:sub>
            <m:r>
              <m:rPr>
                <m:sty m:val="p"/>
              </m:rPr>
              <w:rPr>
                <w:rFonts w:hint="eastAsia" w:ascii="Cambria Math" w:hAnsi="Cambria Math"/>
                <w:kern w:val="0"/>
              </w:rPr>
              <m:t>船实</m:t>
            </m:r>
            <m:ctrlPr>
              <w:rPr>
                <w:rFonts w:ascii="Cambria Math" w:hAnsi="Cambria Math"/>
                <w:i/>
                <w:kern w:val="0"/>
              </w:rPr>
            </m:ctrlPr>
          </m:sub>
        </m:sSub>
      </m:oMath>
      <w:r>
        <w:rPr>
          <w:rFonts w:hint="eastAsia" w:ascii="宋体" w:hAnsi="宋体"/>
          <w:kern w:val="0"/>
        </w:rPr>
        <w:t>——运砂船实际载运量，单位为吨(t</w:t>
      </w:r>
      <w:r>
        <w:rPr>
          <w:rFonts w:ascii="宋体" w:hAnsi="宋体"/>
          <w:kern w:val="0"/>
        </w:rPr>
        <w:t>)</w:t>
      </w:r>
      <w:r>
        <w:rPr>
          <w:rFonts w:hint="eastAsia" w:ascii="宋体" w:hAnsi="宋体"/>
          <w:kern w:val="0"/>
        </w:rPr>
        <w:t>；</w:t>
      </w:r>
    </w:p>
    <w:p>
      <w:pPr>
        <w:pStyle w:val="13"/>
        <w:snapToGrid w:val="0"/>
        <w:spacing w:before="60" w:after="60" w:line="300" w:lineRule="auto"/>
        <w:ind w:firstLine="420" w:firstLineChars="200"/>
        <w:rPr>
          <w:rFonts w:hint="eastAsia" w:ascii="宋体" w:hAnsi="宋体"/>
          <w:kern w:val="0"/>
        </w:rPr>
      </w:pPr>
      <m:oMath>
        <m:r>
          <m:rPr/>
          <w:rPr>
            <w:rFonts w:ascii="Cambria Math" w:hAnsi="Cambria Math"/>
            <w:color w:val="000000"/>
            <w:shd w:val="clear" w:color="auto" w:fill="FFFFFF"/>
          </w:rPr>
          <m:t>ρ</m:t>
        </m:r>
      </m:oMath>
      <w:r>
        <w:rPr>
          <w:rFonts w:hint="eastAsia" w:ascii="宋体" w:hAnsi="宋体"/>
          <w:kern w:val="0"/>
        </w:rPr>
        <w:t>——沥水结束后运砂船内</w:t>
      </w:r>
      <w:r>
        <w:rPr>
          <w:rFonts w:hint="eastAsia" w:ascii="宋体" w:hAnsi="宋体"/>
          <w:color w:val="000000" w:themeColor="text1"/>
          <w:kern w:val="0"/>
          <w14:textFill>
            <w14:solidFill>
              <w14:schemeClr w14:val="tx1"/>
            </w14:solidFill>
          </w14:textFill>
        </w:rPr>
        <w:t>砂料密度，单</w:t>
      </w:r>
      <w:r>
        <w:rPr>
          <w:rFonts w:hint="eastAsia" w:ascii="宋体" w:hAnsi="宋体"/>
          <w:kern w:val="0"/>
        </w:rPr>
        <w:t>位为吨/立方米(t/</w:t>
      </w:r>
      <w:r>
        <w:rPr>
          <w:rFonts w:ascii="宋体" w:hAnsi="宋体"/>
          <w:kern w:val="0"/>
        </w:rPr>
        <w:t>m</w:t>
      </w:r>
      <w:r>
        <w:rPr>
          <w:rFonts w:ascii="宋体" w:hAnsi="宋体"/>
          <w:kern w:val="0"/>
          <w:vertAlign w:val="superscript"/>
        </w:rPr>
        <w:t>3</w:t>
      </w:r>
      <w:r>
        <w:rPr>
          <w:rFonts w:hint="eastAsia" w:ascii="宋体" w:hAnsi="宋体"/>
          <w:kern w:val="0"/>
        </w:rPr>
        <w:t>)；</w:t>
      </w:r>
    </w:p>
    <w:p>
      <w:pPr>
        <w:pStyle w:val="13"/>
        <w:snapToGrid w:val="0"/>
        <w:spacing w:before="60" w:after="60" w:line="300" w:lineRule="auto"/>
        <w:ind w:firstLine="420" w:firstLineChars="200"/>
        <w:rPr>
          <w:rFonts w:hint="eastAsia" w:ascii="宋体" w:hAnsi="宋体"/>
          <w:kern w:val="0"/>
        </w:rPr>
      </w:pPr>
      <m:oMath>
        <m:sSub>
          <m:sSubPr>
            <m:ctrlPr>
              <w:rPr>
                <w:rFonts w:ascii="Cambria Math" w:hAnsi="Cambria Math"/>
                <w:i/>
                <w:kern w:val="0"/>
              </w:rPr>
            </m:ctrlPr>
          </m:sSubPr>
          <m:e>
            <m:r>
              <m:rPr/>
              <w:rPr>
                <w:rFonts w:hint="eastAsia" w:ascii="Cambria Math" w:hAnsi="Cambria Math"/>
                <w:kern w:val="0"/>
              </w:rPr>
              <m:t>V</m:t>
            </m:r>
            <m:ctrlPr>
              <w:rPr>
                <w:rFonts w:ascii="Cambria Math" w:hAnsi="Cambria Math"/>
                <w:i/>
                <w:kern w:val="0"/>
              </w:rPr>
            </m:ctrlPr>
          </m:e>
          <m:sub>
            <m:r>
              <m:rPr>
                <m:sty m:val="p"/>
              </m:rPr>
              <w:rPr>
                <w:rFonts w:hint="eastAsia" w:ascii="Cambria Math" w:hAnsi="Cambria Math"/>
                <w:kern w:val="0"/>
              </w:rPr>
              <m:t>船</m:t>
            </m:r>
            <m:ctrlPr>
              <w:rPr>
                <w:rFonts w:ascii="Cambria Math" w:hAnsi="Cambria Math"/>
                <w:i/>
                <w:kern w:val="0"/>
              </w:rPr>
            </m:ctrlPr>
          </m:sub>
        </m:sSub>
      </m:oMath>
      <w:r>
        <w:rPr>
          <w:rFonts w:hint="eastAsia" w:ascii="宋体" w:hAnsi="宋体"/>
          <w:kern w:val="0"/>
        </w:rPr>
        <w:t>——沥水结束后运砂船内砂料的体积，单位为立方米(</w:t>
      </w:r>
      <w:r>
        <w:rPr>
          <w:rFonts w:ascii="宋体" w:hAnsi="宋体"/>
          <w:kern w:val="0"/>
        </w:rPr>
        <w:t>m</w:t>
      </w:r>
      <w:r>
        <w:rPr>
          <w:rFonts w:ascii="宋体" w:hAnsi="宋体"/>
          <w:kern w:val="0"/>
          <w:vertAlign w:val="superscript"/>
        </w:rPr>
        <w:t>3</w:t>
      </w:r>
      <w:r>
        <w:rPr>
          <w:rFonts w:ascii="宋体" w:hAnsi="宋体"/>
          <w:kern w:val="0"/>
        </w:rPr>
        <w:t>)</w:t>
      </w:r>
      <w:r>
        <w:rPr>
          <w:rFonts w:hint="eastAsia" w:ascii="宋体" w:hAnsi="宋体"/>
          <w:kern w:val="0"/>
        </w:rPr>
        <w:t>。</w:t>
      </w:r>
    </w:p>
    <w:p>
      <w:pPr>
        <w:pStyle w:val="104"/>
        <w:spacing w:before="312" w:after="312"/>
      </w:pPr>
      <w:bookmarkStart w:id="61" w:name="_Toc180943051"/>
      <w:bookmarkStart w:id="62" w:name="_Toc180951422"/>
      <w:r>
        <w:rPr>
          <w:rFonts w:hint="eastAsia"/>
        </w:rPr>
        <w:t>运砂车过磅计重</w:t>
      </w:r>
      <w:bookmarkEnd w:id="61"/>
      <w:bookmarkEnd w:id="62"/>
    </w:p>
    <w:p>
      <w:pPr>
        <w:pStyle w:val="105"/>
        <w:spacing w:before="156" w:after="156"/>
      </w:pPr>
      <w:bookmarkStart w:id="63" w:name="_Toc180943052"/>
      <w:bookmarkStart w:id="64" w:name="_Toc180951423"/>
      <w:r>
        <w:rPr>
          <w:rFonts w:hint="eastAsia"/>
        </w:rPr>
        <w:t>一般规定</w:t>
      </w:r>
      <w:bookmarkEnd w:id="63"/>
      <w:bookmarkEnd w:id="64"/>
    </w:p>
    <w:p>
      <w:pPr>
        <w:pStyle w:val="165"/>
        <w:ind w:left="0"/>
      </w:pPr>
      <w:r>
        <w:rPr>
          <w:rFonts w:hint="eastAsia" w:ascii="Times New Roman"/>
          <w:szCs w:val="21"/>
        </w:rPr>
        <w:t>地磅性能检测合格，处于有效校准状态；过磅场区视频监控系统完善。</w:t>
      </w:r>
    </w:p>
    <w:p>
      <w:pPr>
        <w:pStyle w:val="165"/>
        <w:ind w:left="0"/>
      </w:pPr>
      <w:r>
        <w:rPr>
          <w:rFonts w:hint="eastAsia" w:ascii="Times New Roman"/>
          <w:szCs w:val="21"/>
        </w:rPr>
        <w:t>运行环境应满足地磅的使用要求，通常包括但不限于：电源、温度、湿度、声音、振动、辐射、电磁干扰等。</w:t>
      </w:r>
    </w:p>
    <w:p>
      <w:pPr>
        <w:pStyle w:val="105"/>
        <w:spacing w:before="156" w:after="156"/>
      </w:pPr>
      <w:bookmarkStart w:id="65" w:name="_Toc180951424"/>
      <w:bookmarkStart w:id="66" w:name="_Toc180943053"/>
      <w:r>
        <w:rPr>
          <w:rFonts w:hint="eastAsia"/>
        </w:rPr>
        <w:t>过磅计重</w:t>
      </w:r>
      <w:bookmarkEnd w:id="65"/>
      <w:bookmarkEnd w:id="66"/>
    </w:p>
    <w:p>
      <w:pPr>
        <w:pStyle w:val="165"/>
        <w:ind w:left="0"/>
      </w:pPr>
      <w:r>
        <w:rPr>
          <w:rFonts w:hint="eastAsia"/>
        </w:rPr>
        <w:t>对运砂车空车进行过磅称重，记录空车重量。</w:t>
      </w:r>
    </w:p>
    <w:p>
      <w:pPr>
        <w:pStyle w:val="165"/>
        <w:ind w:left="0"/>
      </w:pPr>
      <w:r>
        <w:rPr>
          <w:rFonts w:hint="eastAsia"/>
        </w:rPr>
        <w:t>针对水面以下砂石装填至运砂车后进行沥水，沥水时间不小于10</w:t>
      </w:r>
      <w:r>
        <w:t> </w:t>
      </w:r>
      <w:r>
        <w:rPr>
          <w:rFonts w:hint="eastAsia"/>
        </w:rPr>
        <w:t>min。</w:t>
      </w:r>
    </w:p>
    <w:p>
      <w:pPr>
        <w:pStyle w:val="165"/>
        <w:ind w:left="0"/>
      </w:pPr>
      <w:r>
        <w:rPr>
          <w:rFonts w:hint="eastAsia"/>
        </w:rPr>
        <w:t>沥水结束后，对已装毕砂石的运砂车进行过磅称重，记录运砂车和砂石总重量。</w:t>
      </w:r>
    </w:p>
    <w:p>
      <w:pPr>
        <w:pStyle w:val="104"/>
        <w:spacing w:before="312" w:after="312"/>
      </w:pPr>
      <w:bookmarkStart w:id="67" w:name="_Toc180943054"/>
      <w:bookmarkStart w:id="68" w:name="_Toc180951425"/>
      <w:r>
        <w:rPr>
          <w:rFonts w:hint="eastAsia"/>
        </w:rPr>
        <w:t>运砂船水尺计重</w:t>
      </w:r>
      <w:bookmarkEnd w:id="67"/>
      <w:bookmarkEnd w:id="68"/>
    </w:p>
    <w:p>
      <w:pPr>
        <w:pStyle w:val="105"/>
        <w:spacing w:before="156" w:after="156"/>
      </w:pPr>
      <w:bookmarkStart w:id="69" w:name="_Toc180951426"/>
      <w:bookmarkStart w:id="70" w:name="_Toc180943055"/>
      <w:r>
        <w:rPr>
          <w:rFonts w:hint="eastAsia"/>
        </w:rPr>
        <w:t>一般要求</w:t>
      </w:r>
      <w:bookmarkEnd w:id="69"/>
      <w:bookmarkEnd w:id="70"/>
    </w:p>
    <w:p>
      <w:pPr>
        <w:pStyle w:val="165"/>
        <w:ind w:left="0"/>
      </w:pPr>
      <w:r>
        <w:rPr>
          <w:rFonts w:hint="eastAsia"/>
        </w:rPr>
        <w:t>船舶状态，船舶标记、标线，船舶纵倾、横倾，水尺计重的图表和资料、以及风浪等符合SN/T 3023.2的水尺计重基本要求。</w:t>
      </w:r>
    </w:p>
    <w:p>
      <w:pPr>
        <w:pStyle w:val="165"/>
        <w:ind w:left="0"/>
      </w:pPr>
      <w:r>
        <w:rPr>
          <w:rFonts w:hint="eastAsia"/>
        </w:rPr>
        <w:t>水尺计重的测尺、分规、温度计、试水膏或粉等、密度计和取样器、观望镜、玻璃量筒、强力手电、望远镜、影像记录设备等测量和观测器具和用品等符合SN/T 3023.2的准备和检定要求。</w:t>
      </w:r>
    </w:p>
    <w:p>
      <w:pPr>
        <w:pStyle w:val="165"/>
        <w:ind w:left="0"/>
      </w:pPr>
      <w:r>
        <w:rPr>
          <w:rFonts w:hint="eastAsia"/>
        </w:rPr>
        <w:t>船舶静水力曲线图/表、排水量/载重量表、相关矫正图/表、各项图标上的计算单位、比例倍数、容量和重量等资料符合SN/T 3023.2的准备和核查要求。</w:t>
      </w:r>
    </w:p>
    <w:p>
      <w:pPr>
        <w:pStyle w:val="105"/>
        <w:spacing w:before="156" w:after="156"/>
      </w:pPr>
      <w:bookmarkStart w:id="71" w:name="_Toc180951427"/>
      <w:bookmarkStart w:id="72" w:name="_Toc180943056"/>
      <w:r>
        <w:rPr>
          <w:rFonts w:hint="eastAsia"/>
        </w:rPr>
        <w:t>船舶吃水测量</w:t>
      </w:r>
      <w:bookmarkEnd w:id="71"/>
      <w:bookmarkEnd w:id="72"/>
    </w:p>
    <w:p>
      <w:pPr>
        <w:pStyle w:val="165"/>
        <w:ind w:left="0"/>
      </w:pPr>
      <w:r>
        <w:rPr>
          <w:rFonts w:hint="eastAsia"/>
        </w:rPr>
        <w:t>砂石装载前和装载后，分别对艏、艉、舯的左、右两舷6个吃水点进行观测，确定船舶吃水的观测方法包括：</w:t>
      </w:r>
    </w:p>
    <w:p>
      <w:pPr>
        <w:pStyle w:val="174"/>
      </w:pPr>
      <w:r>
        <w:rPr>
          <w:rFonts w:hint="eastAsia"/>
        </w:rPr>
        <w:t>以目测的方式人工观测并确定各吃水数据；</w:t>
      </w:r>
    </w:p>
    <w:p>
      <w:pPr>
        <w:pStyle w:val="174"/>
      </w:pPr>
      <w:r>
        <w:rPr>
          <w:rFonts w:hint="eastAsia"/>
        </w:rPr>
        <w:t>以视频记录设备观测并确定各吃水数据；视频记录应包含船舶信息，吃水位置，观测时间及水面状况等。</w:t>
      </w:r>
    </w:p>
    <w:p>
      <w:pPr>
        <w:pStyle w:val="165"/>
        <w:ind w:left="0"/>
      </w:pPr>
      <w:r>
        <w:rPr>
          <w:rFonts w:hint="eastAsia"/>
        </w:rPr>
        <w:t>船舯吃水需测量确定时，应分别从船舶左，右能甲板线或夏季载重线上缘测至水面的距离推算吃水。同时核对法定干舷高度并记录有关数据、信息和计算结果。</w:t>
      </w:r>
    </w:p>
    <w:p>
      <w:pPr>
        <w:pStyle w:val="165"/>
        <w:ind w:left="0"/>
      </w:pPr>
      <w:r>
        <w:rPr>
          <w:rFonts w:hint="eastAsia"/>
        </w:rPr>
        <w:t>当艏水尺标记脱离水面无法直接观测吃水时，应以某吃水点垂直测量至水面的距离后推算实际吃水。</w:t>
      </w:r>
    </w:p>
    <w:p>
      <w:pPr>
        <w:pStyle w:val="105"/>
        <w:spacing w:before="156" w:after="156"/>
      </w:pPr>
      <w:bookmarkStart w:id="73" w:name="_Toc180951428"/>
      <w:bookmarkStart w:id="74" w:name="_Toc180943057"/>
      <w:r>
        <w:rPr>
          <w:rFonts w:hint="eastAsia"/>
        </w:rPr>
        <w:t>校正与计重</w:t>
      </w:r>
      <w:bookmarkEnd w:id="73"/>
      <w:bookmarkEnd w:id="74"/>
    </w:p>
    <w:p>
      <w:pPr>
        <w:pStyle w:val="165"/>
        <w:ind w:left="0"/>
      </w:pPr>
      <w:r>
        <w:rPr>
          <w:rFonts w:hint="eastAsia"/>
        </w:rPr>
        <w:t>吃水校正、排水量校正按SN/T 3023.2中8.1和8.2的相关要求进行。</w:t>
      </w:r>
    </w:p>
    <w:p>
      <w:pPr>
        <w:pStyle w:val="165"/>
        <w:ind w:left="0"/>
      </w:pPr>
      <w:r>
        <w:rPr>
          <w:rFonts w:hint="eastAsia"/>
        </w:rPr>
        <w:t>根据平均吃水，从排水量或载重量表中查算出最接近于该吃水处的吨数作为基数，将差额吃水数乘以相应的每厘米排水量吨，得出差额吨数，以基数吨数加上或减去差额吨数，即得到在吃水处的相应排水量或载重量的吨数。</w:t>
      </w:r>
    </w:p>
    <w:p>
      <w:pPr>
        <w:pStyle w:val="104"/>
        <w:spacing w:before="312" w:after="312"/>
      </w:pPr>
      <w:bookmarkStart w:id="75" w:name="_Toc180951429"/>
      <w:bookmarkStart w:id="76" w:name="_Toc180943058"/>
      <w:r>
        <w:rPr>
          <w:rFonts w:hint="eastAsia"/>
        </w:rPr>
        <w:t>运砂船密度体积计重</w:t>
      </w:r>
      <w:bookmarkEnd w:id="75"/>
      <w:bookmarkEnd w:id="76"/>
    </w:p>
    <w:p>
      <w:pPr>
        <w:pStyle w:val="105"/>
        <w:spacing w:before="156" w:after="156"/>
      </w:pPr>
      <w:bookmarkStart w:id="77" w:name="_Toc180943059"/>
      <w:bookmarkStart w:id="78" w:name="_Toc180951430"/>
      <w:r>
        <w:rPr>
          <w:rFonts w:hint="eastAsia"/>
        </w:rPr>
        <w:t>体积测量</w:t>
      </w:r>
      <w:bookmarkEnd w:id="77"/>
      <w:bookmarkEnd w:id="78"/>
    </w:p>
    <w:p>
      <w:pPr>
        <w:pStyle w:val="56"/>
        <w:ind w:firstLine="420"/>
      </w:pPr>
      <w:r>
        <w:rPr>
          <w:rFonts w:hint="eastAsia"/>
        </w:rPr>
        <w:t>沥水结束后，测量运砂船砂料表面的几何尺寸，结合运砂船船舱形态，计算砂料体积。</w:t>
      </w:r>
    </w:p>
    <w:p>
      <w:pPr>
        <w:pStyle w:val="105"/>
        <w:spacing w:before="156" w:after="156"/>
      </w:pPr>
      <w:bookmarkStart w:id="79" w:name="_Toc180951431"/>
      <w:bookmarkStart w:id="80" w:name="_Toc180943060"/>
      <w:r>
        <w:rPr>
          <w:rFonts w:hint="eastAsia"/>
        </w:rPr>
        <w:t>密度样品测定</w:t>
      </w:r>
      <w:bookmarkEnd w:id="79"/>
      <w:bookmarkEnd w:id="80"/>
    </w:p>
    <w:p>
      <w:pPr>
        <w:pStyle w:val="165"/>
        <w:ind w:left="0"/>
      </w:pPr>
      <w:r>
        <w:rPr>
          <w:rFonts w:hint="eastAsia"/>
        </w:rPr>
        <w:t>河道砂石装运开始后，对每种类型运砂船随机开展2次砂料密度样品采集工作，测定密度并取均值，作为各条运砂船近期该施工状态下的砂料密度。</w:t>
      </w:r>
    </w:p>
    <w:p>
      <w:pPr>
        <w:pStyle w:val="165"/>
        <w:ind w:left="0"/>
      </w:pPr>
      <w:r>
        <w:rPr>
          <w:rFonts w:hint="eastAsia"/>
        </w:rPr>
        <w:t>在运砂船船舱前部、中部和后部布设3个采样点，每个点位采集3个平行的砂料密度样品。</w:t>
      </w:r>
    </w:p>
    <w:p>
      <w:pPr>
        <w:pStyle w:val="165"/>
        <w:ind w:left="0"/>
      </w:pPr>
      <w:r>
        <w:rPr>
          <w:rFonts w:hint="eastAsia"/>
        </w:rPr>
        <w:t>密度样品采集在沥水结束后进行，按照表2规定的时长要求完成沥水。采样深度处于船舱砂料表面以下50</w:t>
      </w:r>
      <w:r>
        <w:t> </w:t>
      </w:r>
      <w:r>
        <w:rPr>
          <w:rFonts w:hint="eastAsia"/>
        </w:rPr>
        <w:t>cm左右，采样工具见附录A。各点位的采样操作符合以下要求：</w:t>
      </w:r>
    </w:p>
    <w:p>
      <w:pPr>
        <w:pStyle w:val="174"/>
        <w:numPr>
          <w:ilvl w:val="0"/>
          <w:numId w:val="32"/>
        </w:numPr>
      </w:pPr>
      <w:r>
        <w:rPr>
          <w:rFonts w:hint="eastAsia"/>
        </w:rPr>
        <w:t>在采样区域开挖长宽均为60</w:t>
      </w:r>
      <w:r>
        <w:t> </w:t>
      </w:r>
      <w:r>
        <w:rPr>
          <w:rFonts w:hint="eastAsia"/>
        </w:rPr>
        <w:t>cm、深度80</w:t>
      </w:r>
      <w:r>
        <w:t> </w:t>
      </w:r>
      <w:r>
        <w:rPr>
          <w:rFonts w:hint="eastAsia"/>
        </w:rPr>
        <w:t>cm的方形坑穴，为采样操作空间。在与方形坑穴毗连区域，开挖长60</w:t>
      </w:r>
      <w:r>
        <w:t> </w:t>
      </w:r>
      <w:r>
        <w:rPr>
          <w:rFonts w:hint="eastAsia"/>
        </w:rPr>
        <w:t>cm、宽度50</w:t>
      </w:r>
      <w:r>
        <w:t xml:space="preserve"> </w:t>
      </w:r>
      <w:r>
        <w:rPr>
          <w:rFonts w:hint="eastAsia"/>
        </w:rPr>
        <w:t>cm的矩形采样平台，平台深度40</w:t>
      </w:r>
      <w:r>
        <w:t> </w:t>
      </w:r>
      <w:r>
        <w:rPr>
          <w:rFonts w:hint="eastAsia"/>
        </w:rPr>
        <w:t>cm，采样操作人员可在操作空间对采样平台下面的砂料进行取样操作。开挖过程中，矩形采样平台所在的区域避免踩踏和人为扰动。</w:t>
      </w:r>
    </w:p>
    <w:p>
      <w:pPr>
        <w:pStyle w:val="174"/>
        <w:numPr>
          <w:ilvl w:val="0"/>
          <w:numId w:val="32"/>
        </w:numPr>
      </w:pPr>
      <w:r>
        <w:rPr>
          <w:rFonts w:hint="eastAsia"/>
        </w:rPr>
        <w:t>在矩形采样平台内均匀设置3个采样点，每个采样点可使采砂筒完整垂直落入范围内。</w:t>
      </w:r>
    </w:p>
    <w:p>
      <w:pPr>
        <w:pStyle w:val="174"/>
        <w:numPr>
          <w:ilvl w:val="0"/>
          <w:numId w:val="32"/>
        </w:numPr>
      </w:pPr>
      <w:r>
        <w:rPr>
          <w:rFonts w:hint="eastAsia"/>
        </w:rPr>
        <w:t>在其中一个点位上垂直放置采砂筒，在采砂筒的上端套接手柄卡槽；按压手柄卡槽使采砂筒完全插入砂体内，取下手柄卡槽；清理采砂筒上边缘周围的砂料，采用铲平斗把采砂筒上端的多余砂料铲平，盖好上筒盖。挖除采砂筒面向采样者一侧的砂料使一半筒壁及底边缘露出；采用铲平斗贴紧采砂筒底部缓慢向前平插，直至整个采砂筒处于铲平斗内，连同铲平斗一起翻转采砂筒180°，垂直放稳后取下铲平斗，盖好下筒盖。</w:t>
      </w:r>
    </w:p>
    <w:p>
      <w:pPr>
        <w:pStyle w:val="174"/>
        <w:numPr>
          <w:ilvl w:val="0"/>
          <w:numId w:val="32"/>
        </w:numPr>
      </w:pPr>
      <w:r>
        <w:rPr>
          <w:rFonts w:hint="eastAsia"/>
        </w:rPr>
        <w:t>现场对装有样品的采砂筒进行称重，然后转移至样品自封袋，写明标签密封保存。</w:t>
      </w:r>
    </w:p>
    <w:p>
      <w:pPr>
        <w:pStyle w:val="174"/>
        <w:numPr>
          <w:ilvl w:val="0"/>
          <w:numId w:val="32"/>
        </w:numPr>
      </w:pPr>
      <w:r>
        <w:rPr>
          <w:rFonts w:hint="eastAsia"/>
        </w:rPr>
        <w:t>采样同样方法完成其余两个采样点位的样品采集，共采集3个样品。</w:t>
      </w:r>
    </w:p>
    <w:p>
      <w:pPr>
        <w:pStyle w:val="174"/>
        <w:numPr>
          <w:ilvl w:val="0"/>
          <w:numId w:val="32"/>
        </w:numPr>
      </w:pPr>
      <w:r>
        <w:rPr>
          <w:rFonts w:hint="eastAsia"/>
        </w:rPr>
        <w:t>采样完成后填平坑穴，恢复船舱原有地形。</w:t>
      </w:r>
    </w:p>
    <w:p>
      <w:pPr>
        <w:pStyle w:val="112"/>
        <w:spacing w:before="156" w:after="156"/>
      </w:pPr>
      <w:r>
        <w:rPr>
          <w:rFonts w:hint="eastAsia"/>
        </w:rPr>
        <w:t>不同船舱深度船舶砂料的沥水时长</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序号</w:t>
            </w:r>
          </w:p>
        </w:tc>
        <w:tc>
          <w:tcPr>
            <w:tcW w:w="3112"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船舱深度（m）</w:t>
            </w:r>
          </w:p>
        </w:tc>
        <w:tc>
          <w:tcPr>
            <w:tcW w:w="3112"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沥水时长（h）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1</w:t>
            </w:r>
          </w:p>
        </w:tc>
        <w:tc>
          <w:tcPr>
            <w:tcW w:w="3112"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≤3.5</w:t>
            </w:r>
          </w:p>
        </w:tc>
        <w:tc>
          <w:tcPr>
            <w:tcW w:w="3112"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2</w:t>
            </w:r>
          </w:p>
        </w:tc>
        <w:tc>
          <w:tcPr>
            <w:tcW w:w="3112"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＞3.5，且≤4.5</w:t>
            </w:r>
          </w:p>
        </w:tc>
        <w:tc>
          <w:tcPr>
            <w:tcW w:w="3112"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3</w:t>
            </w:r>
          </w:p>
        </w:tc>
        <w:tc>
          <w:tcPr>
            <w:tcW w:w="3112"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＞4.5</w:t>
            </w:r>
          </w:p>
        </w:tc>
        <w:tc>
          <w:tcPr>
            <w:tcW w:w="3112" w:type="dxa"/>
            <w:vAlign w:val="center"/>
          </w:tcPr>
          <w:p>
            <w:pPr>
              <w:pStyle w:val="178"/>
              <w:rPr>
                <w:rFonts w:hint="eastAsia" w:hAnsi="宋体"/>
              </w:rPr>
            </w:pPr>
            <w:r>
              <w:rPr>
                <w:rFonts w:hint="eastAsia" w:hAnsi="宋体"/>
                <w:color w:val="000000" w:themeColor="text1"/>
                <w:szCs w:val="18"/>
                <w14:textFill>
                  <w14:solidFill>
                    <w14:schemeClr w14:val="tx1"/>
                  </w14:solidFill>
                </w14:textFill>
              </w:rPr>
              <w:t>≥4.0</w:t>
            </w:r>
          </w:p>
        </w:tc>
      </w:tr>
    </w:tbl>
    <w:p>
      <w:pPr>
        <w:pStyle w:val="165"/>
        <w:ind w:left="0"/>
      </w:pPr>
      <w:r>
        <w:rPr>
          <w:rFonts w:hint="eastAsia"/>
        </w:rPr>
        <w:t>当采区或疏浚区砂料质地、施工位置和施工方式发生变化时，应再次开展样品采集与砂料密度测定工作。</w:t>
      </w:r>
    </w:p>
    <w:p>
      <w:pPr>
        <w:pStyle w:val="105"/>
        <w:spacing w:before="156" w:after="156"/>
      </w:pPr>
      <w:bookmarkStart w:id="81" w:name="_Toc180951432"/>
      <w:bookmarkStart w:id="82" w:name="_Toc180943061"/>
      <w:r>
        <w:rPr>
          <w:rFonts w:hint="eastAsia"/>
        </w:rPr>
        <w:t>密度测定</w:t>
      </w:r>
      <w:bookmarkEnd w:id="81"/>
      <w:bookmarkEnd w:id="82"/>
    </w:p>
    <w:p>
      <w:pPr>
        <w:pStyle w:val="165"/>
        <w:ind w:left="0"/>
      </w:pPr>
      <w:r>
        <w:rPr>
          <w:rFonts w:hint="eastAsia"/>
        </w:rPr>
        <w:t>砂料密度测定仪器主要为天平，量程不小于20</w:t>
      </w:r>
      <w:r>
        <w:t> </w:t>
      </w:r>
      <w:r>
        <w:rPr>
          <w:rFonts w:hint="eastAsia"/>
        </w:rPr>
        <w:t>kg，分度值不大于1</w:t>
      </w:r>
      <w:r>
        <w:t> </w:t>
      </w:r>
      <w:r>
        <w:rPr>
          <w:rFonts w:hint="eastAsia"/>
        </w:rPr>
        <w:t>g。</w:t>
      </w:r>
    </w:p>
    <w:p>
      <w:pPr>
        <w:pStyle w:val="165"/>
        <w:ind w:left="0"/>
      </w:pPr>
      <w:r>
        <w:rPr>
          <w:rFonts w:hint="eastAsia"/>
        </w:rPr>
        <w:t>样品采集后，采用天平对空采样容器和装有砂料密度样品的采样容器分别进行现场称重，记录重量，计算砂料重量。</w:t>
      </w:r>
    </w:p>
    <w:p>
      <w:pPr>
        <w:pStyle w:val="165"/>
        <w:ind w:left="0"/>
      </w:pPr>
      <w:r>
        <w:rPr>
          <w:rFonts w:hint="eastAsia"/>
        </w:rPr>
        <w:t>砂料密度可在现场测定，按照公式（4）计算，精确至10</w:t>
      </w:r>
      <w:r>
        <w:t> </w:t>
      </w:r>
      <w:r>
        <w:rPr>
          <w:rFonts w:hint="eastAsia"/>
        </w:rPr>
        <w:t>kg/m</w:t>
      </w:r>
      <w:r>
        <w:rPr>
          <w:rFonts w:hint="eastAsia"/>
          <w:vertAlign w:val="superscript"/>
        </w:rPr>
        <w:t>3</w:t>
      </w:r>
      <w:r>
        <w:rPr>
          <w:rFonts w:hint="eastAsia"/>
        </w:rPr>
        <w:t>。</w:t>
      </w:r>
    </w:p>
    <w:p>
      <w:pPr>
        <w:pStyle w:val="113"/>
        <w:rPr>
          <w:rFonts w:hint="eastAsia"/>
        </w:rPr>
      </w:pPr>
      <w:r>
        <w:tab/>
      </w:r>
      <m:oMath>
        <m:r>
          <m:rPr/>
          <w:rPr>
            <w:rFonts w:ascii="Cambria Math" w:hAnsi="Cambria Math"/>
            <w:color w:val="000000"/>
            <w:shd w:val="clear" w:color="auto" w:fill="FFFFFF"/>
          </w:rPr>
          <m:t>ρ=</m:t>
        </m:r>
        <m:f>
          <m:fPr>
            <m:ctrlPr>
              <w:rPr>
                <w:rFonts w:ascii="Cambria Math" w:hAnsi="Cambria Math"/>
                <w:i/>
                <w:color w:val="000000"/>
                <w:shd w:val="clear" w:color="auto" w:fill="FFFFFF"/>
              </w:rPr>
            </m:ctrlPr>
          </m:fPr>
          <m:num>
            <m:sSub>
              <m:sSubPr>
                <m:ctrlPr>
                  <w:rPr>
                    <w:rFonts w:ascii="Cambria Math" w:hAnsi="Cambria Math"/>
                    <w:i/>
                    <w:color w:val="000000"/>
                    <w:shd w:val="clear" w:color="auto" w:fill="FFFFFF"/>
                  </w:rPr>
                </m:ctrlPr>
              </m:sSubPr>
              <m:e>
                <m:r>
                  <m:rPr/>
                  <w:rPr>
                    <w:rFonts w:hint="eastAsia" w:ascii="Cambria Math" w:hAnsi="Cambria Math"/>
                    <w:color w:val="000000"/>
                    <w:shd w:val="clear" w:color="auto" w:fill="FFFFFF"/>
                  </w:rPr>
                  <m:t>m</m:t>
                </m:r>
                <m:ctrlPr>
                  <w:rPr>
                    <w:rFonts w:ascii="Cambria Math" w:hAnsi="Cambria Math"/>
                    <w:i/>
                    <w:color w:val="000000"/>
                    <w:shd w:val="clear" w:color="auto" w:fill="FFFFFF"/>
                  </w:rPr>
                </m:ctrlPr>
              </m:e>
              <m:sub>
                <m:r>
                  <m:rPr>
                    <m:sty m:val="p"/>
                  </m:rPr>
                  <w:rPr>
                    <w:rFonts w:hint="eastAsia" w:ascii="Cambria Math" w:hAnsi="Cambria Math"/>
                    <w:color w:val="000000"/>
                    <w:shd w:val="clear" w:color="auto" w:fill="FFFFFF"/>
                  </w:rPr>
                  <m:t>样</m:t>
                </m:r>
                <m:ctrlPr>
                  <w:rPr>
                    <w:rFonts w:ascii="Cambria Math" w:hAnsi="Cambria Math"/>
                    <w:i/>
                    <w:color w:val="000000"/>
                    <w:shd w:val="clear" w:color="auto" w:fill="FFFFFF"/>
                  </w:rPr>
                </m:ctrlPr>
              </m:sub>
            </m:sSub>
            <m:ctrlPr>
              <w:rPr>
                <w:rFonts w:ascii="Cambria Math" w:hAnsi="Cambria Math"/>
                <w:i/>
                <w:color w:val="000000"/>
                <w:shd w:val="clear" w:color="auto" w:fill="FFFFFF"/>
              </w:rPr>
            </m:ctrlPr>
          </m:num>
          <m:den>
            <m:sSub>
              <m:sSubPr>
                <m:ctrlPr>
                  <w:rPr>
                    <w:rFonts w:ascii="Cambria Math" w:hAnsi="Cambria Math"/>
                    <w:i/>
                    <w:color w:val="000000"/>
                    <w:shd w:val="clear" w:color="auto" w:fill="FFFFFF"/>
                  </w:rPr>
                </m:ctrlPr>
              </m:sSubPr>
              <m:e>
                <m:r>
                  <m:rPr/>
                  <w:rPr>
                    <w:rFonts w:hint="eastAsia" w:ascii="Cambria Math" w:hAnsi="Cambria Math"/>
                    <w:color w:val="000000"/>
                    <w:shd w:val="clear" w:color="auto" w:fill="FFFFFF"/>
                  </w:rPr>
                  <m:t>V</m:t>
                </m:r>
                <m:ctrlPr>
                  <w:rPr>
                    <w:rFonts w:ascii="Cambria Math" w:hAnsi="Cambria Math"/>
                    <w:i/>
                    <w:color w:val="000000"/>
                    <w:shd w:val="clear" w:color="auto" w:fill="FFFFFF"/>
                  </w:rPr>
                </m:ctrlPr>
              </m:e>
              <m:sub>
                <m:r>
                  <m:rPr>
                    <m:sty m:val="p"/>
                  </m:rPr>
                  <w:rPr>
                    <w:rFonts w:hint="eastAsia" w:ascii="Cambria Math" w:hAnsi="Cambria Math"/>
                    <w:color w:val="000000"/>
                    <w:shd w:val="clear" w:color="auto" w:fill="FFFFFF"/>
                  </w:rPr>
                  <m:t>样</m:t>
                </m:r>
                <m:ctrlPr>
                  <w:rPr>
                    <w:rFonts w:ascii="Cambria Math" w:hAnsi="Cambria Math"/>
                    <w:i/>
                    <w:color w:val="000000"/>
                    <w:shd w:val="clear" w:color="auto" w:fill="FFFFFF"/>
                  </w:rPr>
                </m:ctrlPr>
              </m:sub>
            </m:sSub>
            <m:ctrlPr>
              <w:rPr>
                <w:rFonts w:ascii="Cambria Math" w:hAnsi="Cambria Math"/>
                <w:i/>
                <w:color w:val="000000"/>
                <w:shd w:val="clear" w:color="auto" w:fill="FFFFFF"/>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13"/>
        <w:snapToGrid w:val="0"/>
        <w:spacing w:before="60" w:after="60" w:line="300" w:lineRule="auto"/>
        <w:ind w:firstLine="420"/>
        <w:rPr>
          <w:rFonts w:hint="eastAsia" w:ascii="宋体" w:hAnsi="宋体"/>
          <w:color w:val="000000"/>
          <w:shd w:val="clear" w:color="auto" w:fill="FFFFFF"/>
        </w:rPr>
      </w:pPr>
      <m:oMath>
        <m:r>
          <m:rPr/>
          <w:rPr>
            <w:rFonts w:ascii="Cambria Math" w:hAnsi="Cambria Math"/>
            <w:color w:val="000000"/>
            <w:shd w:val="clear" w:color="auto" w:fill="FFFFFF"/>
          </w:rPr>
          <m:t>ρ</m:t>
        </m:r>
      </m:oMath>
      <w:r>
        <w:rPr>
          <w:rFonts w:hint="eastAsia" w:ascii="宋体" w:hAnsi="宋体"/>
          <w:kern w:val="0"/>
        </w:rPr>
        <w:t>——</w:t>
      </w:r>
      <w:r>
        <w:rPr>
          <w:rFonts w:hint="eastAsia" w:ascii="宋体" w:hAnsi="宋体"/>
          <w:color w:val="000000"/>
          <w:shd w:val="clear" w:color="auto" w:fill="FFFFFF"/>
        </w:rPr>
        <w:t>砂料密度，单位为吨/立方米（t</w:t>
      </w:r>
      <w:r>
        <w:rPr>
          <w:rFonts w:ascii="宋体" w:hAnsi="宋体"/>
          <w:color w:val="000000"/>
          <w:shd w:val="clear" w:color="auto" w:fill="FFFFFF"/>
        </w:rPr>
        <w:t>/m</w:t>
      </w:r>
      <w:r>
        <w:rPr>
          <w:rFonts w:ascii="宋体" w:hAnsi="宋体"/>
          <w:color w:val="000000"/>
          <w:shd w:val="clear" w:color="auto" w:fill="FFFFFF"/>
          <w:vertAlign w:val="superscript"/>
        </w:rPr>
        <w:t>3</w:t>
      </w:r>
      <w:r>
        <w:rPr>
          <w:rFonts w:hint="eastAsia" w:ascii="宋体" w:hAnsi="宋体"/>
          <w:color w:val="000000"/>
          <w:shd w:val="clear" w:color="auto" w:fill="FFFFFF"/>
        </w:rPr>
        <w:t>）。</w:t>
      </w:r>
    </w:p>
    <w:p>
      <w:pPr>
        <w:pStyle w:val="13"/>
        <w:snapToGrid w:val="0"/>
        <w:spacing w:before="60" w:after="60" w:line="300" w:lineRule="auto"/>
        <w:ind w:firstLine="420"/>
        <w:rPr>
          <w:rFonts w:hint="eastAsia" w:ascii="宋体" w:hAnsi="宋体"/>
          <w:color w:val="000000"/>
          <w:shd w:val="clear" w:color="auto" w:fill="FFFFFF"/>
        </w:rPr>
      </w:pPr>
      <m:oMath>
        <m:sSub>
          <m:sSubPr>
            <m:ctrlPr>
              <w:rPr>
                <w:rFonts w:ascii="Cambria Math" w:hAnsi="Cambria Math"/>
                <w:i/>
                <w:color w:val="000000"/>
                <w:shd w:val="clear" w:color="auto" w:fill="FFFFFF"/>
              </w:rPr>
            </m:ctrlPr>
          </m:sSubPr>
          <m:e>
            <m:r>
              <m:rPr/>
              <w:rPr>
                <w:rFonts w:hint="eastAsia" w:ascii="Cambria Math" w:hAnsi="Cambria Math"/>
                <w:color w:val="000000"/>
                <w:shd w:val="clear" w:color="auto" w:fill="FFFFFF"/>
              </w:rPr>
              <m:t>m</m:t>
            </m:r>
            <m:ctrlPr>
              <w:rPr>
                <w:rFonts w:ascii="Cambria Math" w:hAnsi="Cambria Math"/>
                <w:i/>
                <w:color w:val="000000"/>
                <w:shd w:val="clear" w:color="auto" w:fill="FFFFFF"/>
              </w:rPr>
            </m:ctrlPr>
          </m:e>
          <m:sub>
            <m:r>
              <m:rPr>
                <m:sty m:val="p"/>
              </m:rPr>
              <w:rPr>
                <w:rFonts w:hint="eastAsia" w:ascii="Cambria Math" w:hAnsi="Cambria Math"/>
                <w:color w:val="000000"/>
                <w:shd w:val="clear" w:color="auto" w:fill="FFFFFF"/>
              </w:rPr>
              <m:t>样</m:t>
            </m:r>
            <m:ctrlPr>
              <w:rPr>
                <w:rFonts w:ascii="Cambria Math" w:hAnsi="Cambria Math"/>
                <w:i/>
                <w:color w:val="000000"/>
                <w:shd w:val="clear" w:color="auto" w:fill="FFFFFF"/>
              </w:rPr>
            </m:ctrlPr>
          </m:sub>
        </m:sSub>
      </m:oMath>
      <w:r>
        <w:rPr>
          <w:rFonts w:hint="eastAsia" w:ascii="宋体" w:hAnsi="宋体"/>
          <w:kern w:val="0"/>
        </w:rPr>
        <w:t>——</w:t>
      </w:r>
      <w:r>
        <w:rPr>
          <w:rFonts w:hint="eastAsia" w:ascii="宋体" w:hAnsi="宋体"/>
          <w:color w:val="000000"/>
          <w:shd w:val="clear" w:color="auto" w:fill="FFFFFF"/>
        </w:rPr>
        <w:t>砂料样品的重量，单位为公斤</w:t>
      </w:r>
      <w:r>
        <w:rPr>
          <w:rFonts w:ascii="宋体" w:hAnsi="宋体"/>
          <w:color w:val="000000"/>
          <w:shd w:val="clear" w:color="auto" w:fill="FFFFFF"/>
        </w:rPr>
        <w:t>(</w:t>
      </w:r>
      <w:r>
        <w:rPr>
          <w:rFonts w:hint="eastAsia" w:ascii="宋体" w:hAnsi="宋体"/>
          <w:color w:val="000000"/>
          <w:shd w:val="clear" w:color="auto" w:fill="FFFFFF"/>
        </w:rPr>
        <w:t>k</w:t>
      </w:r>
      <w:r>
        <w:rPr>
          <w:rFonts w:ascii="宋体" w:hAnsi="宋体"/>
          <w:color w:val="000000"/>
          <w:shd w:val="clear" w:color="auto" w:fill="FFFFFF"/>
        </w:rPr>
        <w:t>g)</w:t>
      </w:r>
      <w:r>
        <w:rPr>
          <w:rFonts w:hint="eastAsia" w:ascii="宋体" w:hAnsi="宋体"/>
          <w:color w:val="000000"/>
          <w:shd w:val="clear" w:color="auto" w:fill="FFFFFF"/>
        </w:rPr>
        <w:t>。</w:t>
      </w:r>
    </w:p>
    <w:p>
      <w:pPr>
        <w:pStyle w:val="13"/>
        <w:snapToGrid w:val="0"/>
        <w:spacing w:before="60" w:after="60" w:line="300" w:lineRule="auto"/>
        <w:ind w:firstLine="420"/>
        <w:rPr>
          <w:rFonts w:hint="eastAsia" w:ascii="宋体" w:hAnsi="宋体"/>
          <w:color w:val="000000"/>
          <w:shd w:val="clear" w:color="auto" w:fill="FFFFFF"/>
        </w:rPr>
      </w:pPr>
      <m:oMath>
        <m:sSub>
          <m:sSubPr>
            <m:ctrlPr>
              <w:rPr>
                <w:rFonts w:ascii="Cambria Math" w:hAnsi="Cambria Math"/>
                <w:i/>
                <w:color w:val="000000"/>
                <w:shd w:val="clear" w:color="auto" w:fill="FFFFFF"/>
              </w:rPr>
            </m:ctrlPr>
          </m:sSubPr>
          <m:e>
            <m:r>
              <m:rPr/>
              <w:rPr>
                <w:rFonts w:hint="eastAsia" w:ascii="Cambria Math" w:hAnsi="Cambria Math"/>
                <w:color w:val="000000"/>
                <w:shd w:val="clear" w:color="auto" w:fill="FFFFFF"/>
              </w:rPr>
              <m:t>V</m:t>
            </m:r>
            <m:ctrlPr>
              <w:rPr>
                <w:rFonts w:ascii="Cambria Math" w:hAnsi="Cambria Math"/>
                <w:i/>
                <w:color w:val="000000"/>
                <w:shd w:val="clear" w:color="auto" w:fill="FFFFFF"/>
              </w:rPr>
            </m:ctrlPr>
          </m:e>
          <m:sub>
            <m:r>
              <m:rPr>
                <m:sty m:val="p"/>
              </m:rPr>
              <w:rPr>
                <w:rFonts w:hint="eastAsia" w:ascii="Cambria Math" w:hAnsi="Cambria Math"/>
                <w:color w:val="000000"/>
                <w:shd w:val="clear" w:color="auto" w:fill="FFFFFF"/>
              </w:rPr>
              <m:t>样</m:t>
            </m:r>
            <m:ctrlPr>
              <w:rPr>
                <w:rFonts w:ascii="Cambria Math" w:hAnsi="Cambria Math"/>
                <w:i/>
                <w:color w:val="000000"/>
                <w:shd w:val="clear" w:color="auto" w:fill="FFFFFF"/>
              </w:rPr>
            </m:ctrlPr>
          </m:sub>
        </m:sSub>
      </m:oMath>
      <w:r>
        <w:rPr>
          <w:rFonts w:hint="eastAsia" w:ascii="宋体" w:hAnsi="宋体"/>
          <w:kern w:val="0"/>
        </w:rPr>
        <w:t>——</w:t>
      </w:r>
      <w:r>
        <w:rPr>
          <w:rFonts w:hint="eastAsia" w:ascii="宋体" w:hAnsi="宋体"/>
          <w:color w:val="000000"/>
          <w:shd w:val="clear" w:color="auto" w:fill="FFFFFF"/>
        </w:rPr>
        <w:t>砂料样品的体积，单位为立方分米(</w:t>
      </w:r>
      <w:r>
        <w:rPr>
          <w:rFonts w:ascii="宋体" w:hAnsi="宋体"/>
          <w:color w:val="000000"/>
          <w:shd w:val="clear" w:color="auto" w:fill="FFFFFF"/>
        </w:rPr>
        <w:t>dm</w:t>
      </w:r>
      <w:r>
        <w:rPr>
          <w:rFonts w:ascii="宋体" w:hAnsi="宋体"/>
          <w:color w:val="000000"/>
          <w:shd w:val="clear" w:color="auto" w:fill="FFFFFF"/>
          <w:vertAlign w:val="superscript"/>
        </w:rPr>
        <w:t>3</w:t>
      </w:r>
      <w:r>
        <w:rPr>
          <w:rFonts w:ascii="宋体" w:hAnsi="宋体"/>
          <w:color w:val="000000"/>
          <w:shd w:val="clear" w:color="auto" w:fill="FFFFFF"/>
        </w:rPr>
        <w:t>)</w:t>
      </w:r>
      <w:r>
        <w:rPr>
          <w:rFonts w:hint="eastAsia" w:ascii="宋体" w:hAnsi="宋体"/>
          <w:color w:val="000000"/>
          <w:shd w:val="clear" w:color="auto" w:fill="FFFFFF"/>
        </w:rPr>
        <w:t>。</w:t>
      </w:r>
    </w:p>
    <w:p>
      <w:pPr>
        <w:pStyle w:val="165"/>
        <w:ind w:left="0"/>
      </w:pPr>
      <w:r>
        <w:rPr>
          <w:rFonts w:hint="eastAsia"/>
        </w:rPr>
        <w:t>砂料密度取各次测定结果的平均值，精确至10</w:t>
      </w:r>
      <w:r>
        <w:t> </w:t>
      </w:r>
      <w:r>
        <w:rPr>
          <w:rFonts w:hint="eastAsia"/>
        </w:rPr>
        <w:t>kg/m</w:t>
      </w:r>
      <w:r>
        <w:rPr>
          <w:rFonts w:hint="eastAsia"/>
          <w:vertAlign w:val="superscript"/>
        </w:rPr>
        <w:t>3</w:t>
      </w:r>
      <w:r>
        <w:rPr>
          <w:rFonts w:hint="eastAsia"/>
        </w:rPr>
        <w:t>。</w:t>
      </w:r>
    </w:p>
    <w:p>
      <w:pPr>
        <w:pStyle w:val="165"/>
        <w:ind w:left="0"/>
        <w:sectPr>
          <w:pgSz w:w="11906" w:h="16838"/>
          <w:pgMar w:top="1928" w:right="1134" w:bottom="1134" w:left="1134" w:header="1418" w:footer="1134" w:gutter="284"/>
          <w:pgNumType w:start="1"/>
          <w:cols w:space="425" w:num="1"/>
          <w:formProt w:val="0"/>
          <w:docGrid w:type="lines" w:linePitch="312" w:charSpace="0"/>
        </w:sectPr>
      </w:pPr>
    </w:p>
    <w:bookmarkEnd w:id="25"/>
    <w:p>
      <w:pPr>
        <w:pStyle w:val="198"/>
        <w:rPr>
          <w:rFonts w:hint="eastAsia"/>
        </w:rPr>
      </w:pPr>
      <w:bookmarkStart w:id="83" w:name="BookMark5"/>
    </w:p>
    <w:p>
      <w:pPr>
        <w:pStyle w:val="199"/>
      </w:pPr>
    </w:p>
    <w:p>
      <w:pPr>
        <w:pStyle w:val="76"/>
        <w:spacing w:after="156"/>
      </w:pPr>
      <w:r>
        <w:br w:type="textWrapping"/>
      </w:r>
      <w:bookmarkStart w:id="84" w:name="_Toc180951433"/>
      <w:bookmarkStart w:id="85" w:name="_Toc180943062"/>
      <w:r>
        <w:rPr>
          <w:rFonts w:hint="eastAsia"/>
        </w:rPr>
        <w:t>（资料性）</w:t>
      </w:r>
      <w:r>
        <w:br w:type="textWrapping"/>
      </w:r>
      <w:r>
        <w:rPr>
          <w:rFonts w:hint="eastAsia"/>
        </w:rPr>
        <w:t>砂料样品采集装置</w:t>
      </w:r>
      <w:bookmarkEnd w:id="84"/>
      <w:bookmarkEnd w:id="85"/>
    </w:p>
    <w:p>
      <w:pPr>
        <w:pStyle w:val="13"/>
        <w:snapToGrid w:val="0"/>
        <w:spacing w:after="0" w:line="336" w:lineRule="auto"/>
        <w:ind w:firstLine="420"/>
        <w:rPr>
          <w:rFonts w:hint="eastAsia" w:ascii="宋体" w:hAnsi="宋体"/>
          <w:kern w:val="0"/>
        </w:rPr>
      </w:pPr>
      <w:r>
        <w:rPr>
          <w:rFonts w:hint="eastAsia" w:ascii="宋体" w:hAnsi="宋体"/>
          <w:kern w:val="0"/>
        </w:rPr>
        <w:t>图A</w:t>
      </w:r>
      <w:r>
        <w:rPr>
          <w:rFonts w:ascii="宋体" w:hAnsi="宋体"/>
          <w:kern w:val="0"/>
        </w:rPr>
        <w:t>.</w:t>
      </w:r>
      <w:r>
        <w:rPr>
          <w:rFonts w:hint="eastAsia" w:ascii="宋体" w:hAnsi="宋体"/>
          <w:kern w:val="0"/>
        </w:rPr>
        <w:t>1给出了采砂样品装置示意图。</w:t>
      </w:r>
    </w:p>
    <w:p>
      <w:pPr>
        <w:pStyle w:val="13"/>
        <w:snapToGrid w:val="0"/>
        <w:spacing w:after="0" w:line="336" w:lineRule="auto"/>
        <w:ind w:firstLine="420"/>
        <w:rPr>
          <w:rFonts w:hint="eastAsia" w:ascii="宋体" w:hAnsi="宋体"/>
          <w:kern w:val="0"/>
        </w:rPr>
      </w:pPr>
      <w:r>
        <w:rPr>
          <w:rFonts w:hint="eastAsia" w:ascii="宋体" w:hAnsi="宋体"/>
          <w:kern w:val="0"/>
        </w:rPr>
        <w:t>砂料样品采集装置包括4个部分，即（a）采砂筒（上下通透薄壁钢筒）；（b）手柄卡槽；（c）铲平斗；（d）上下筒盖。</w:t>
      </w:r>
    </w:p>
    <w:p>
      <w:pPr>
        <w:pStyle w:val="13"/>
        <w:snapToGrid w:val="0"/>
        <w:spacing w:after="0" w:line="336" w:lineRule="auto"/>
        <w:ind w:firstLine="420"/>
        <w:rPr>
          <w:rFonts w:hint="eastAsia" w:ascii="宋体" w:hAnsi="宋体"/>
          <w:kern w:val="0"/>
        </w:rPr>
      </w:pPr>
      <w:r>
        <w:rPr>
          <w:rFonts w:hint="eastAsia" w:ascii="宋体" w:hAnsi="宋体"/>
          <w:kern w:val="0"/>
        </w:rPr>
        <w:t>采砂筒推荐参数：容量6</w:t>
      </w:r>
      <w:r>
        <w:t> </w:t>
      </w:r>
      <w:r>
        <w:rPr>
          <w:rFonts w:hint="eastAsia" w:ascii="宋体" w:hAnsi="宋体"/>
          <w:kern w:val="0"/>
        </w:rPr>
        <w:t>dm</w:t>
      </w:r>
      <w:r>
        <w:rPr>
          <w:rFonts w:hint="eastAsia" w:ascii="宋体" w:hAnsi="宋体"/>
          <w:kern w:val="0"/>
          <w:vertAlign w:val="superscript"/>
        </w:rPr>
        <w:t>3</w:t>
      </w:r>
      <w:r>
        <w:rPr>
          <w:rFonts w:hint="eastAsia" w:ascii="宋体" w:hAnsi="宋体"/>
          <w:kern w:val="0"/>
        </w:rPr>
        <w:t>，外径178.0</w:t>
      </w:r>
      <w:r>
        <w:t> </w:t>
      </w:r>
      <w:r>
        <w:rPr>
          <w:rFonts w:hint="eastAsia" w:ascii="宋体" w:hAnsi="宋体"/>
          <w:kern w:val="0"/>
        </w:rPr>
        <w:t>mm，壁厚1.1</w:t>
      </w:r>
      <w:r>
        <w:t> </w:t>
      </w:r>
      <w:r>
        <w:rPr>
          <w:rFonts w:hint="eastAsia" w:ascii="宋体" w:hAnsi="宋体"/>
          <w:kern w:val="0"/>
        </w:rPr>
        <w:t>mm，高度247.3</w:t>
      </w:r>
      <w:r>
        <w:t> </w:t>
      </w:r>
      <w:r>
        <w:rPr>
          <w:rFonts w:hint="eastAsia" w:ascii="宋体" w:hAnsi="宋体"/>
          <w:kern w:val="0"/>
        </w:rPr>
        <w:t>mm。</w:t>
      </w:r>
    </w:p>
    <w:p>
      <w:pPr>
        <w:pStyle w:val="13"/>
        <w:snapToGrid w:val="0"/>
        <w:spacing w:after="0" w:line="336" w:lineRule="auto"/>
        <w:ind w:firstLine="420"/>
        <w:rPr>
          <w:rFonts w:ascii="Times New Roman" w:hAnsi="Times New Roman"/>
          <w:kern w:val="0"/>
        </w:rPr>
      </w:pP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04"/>
        <w:gridCol w:w="5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1" w:type="pct"/>
          </w:tcPr>
          <w:p>
            <w:pPr>
              <w:pStyle w:val="13"/>
              <w:snapToGrid w:val="0"/>
              <w:spacing w:after="0" w:line="360" w:lineRule="auto"/>
              <w:jc w:val="center"/>
              <w:rPr>
                <w:rFonts w:ascii="Times New Roman" w:hAnsi="Times New Roman"/>
                <w:kern w:val="0"/>
              </w:rPr>
            </w:pPr>
            <w:r>
              <w:drawing>
                <wp:inline distT="0" distB="0" distL="0" distR="0">
                  <wp:extent cx="1280160" cy="1684655"/>
                  <wp:effectExtent l="0" t="0" r="0" b="0"/>
                  <wp:docPr id="485335193" name="图片 1" descr="图片包含 体育, 灯,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35193" name="图片 1" descr="图片包含 体育, 灯, 游戏机&#10;&#10;描述已自动生成"/>
                          <pic:cNvPicPr>
                            <a:picLocks noChangeAspect="1"/>
                          </pic:cNvPicPr>
                        </pic:nvPicPr>
                        <pic:blipFill>
                          <a:blip r:embed="rId16"/>
                          <a:stretch>
                            <a:fillRect/>
                          </a:stretch>
                        </pic:blipFill>
                        <pic:spPr>
                          <a:xfrm>
                            <a:off x="0" y="0"/>
                            <a:ext cx="1300731" cy="1711195"/>
                          </a:xfrm>
                          <a:prstGeom prst="rect">
                            <a:avLst/>
                          </a:prstGeom>
                        </pic:spPr>
                      </pic:pic>
                    </a:graphicData>
                  </a:graphic>
                </wp:inline>
              </w:drawing>
            </w:r>
          </w:p>
        </w:tc>
        <w:tc>
          <w:tcPr>
            <w:tcW w:w="2699" w:type="pct"/>
            <w:vAlign w:val="center"/>
          </w:tcPr>
          <w:p>
            <w:pPr>
              <w:pStyle w:val="13"/>
              <w:snapToGrid w:val="0"/>
              <w:spacing w:after="0" w:line="360" w:lineRule="auto"/>
              <w:jc w:val="center"/>
              <w:rPr>
                <w:rFonts w:ascii="Times New Roman" w:hAnsi="Times New Roman"/>
                <w:kern w:val="0"/>
              </w:rPr>
            </w:pPr>
            <w:r>
              <w:drawing>
                <wp:inline distT="0" distB="0" distL="0" distR="0">
                  <wp:extent cx="1613535" cy="1167130"/>
                  <wp:effectExtent l="0" t="0" r="5715" b="0"/>
                  <wp:docPr id="1587236012" name="图片 1"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36012" name="图片 1" descr="图示&#10;&#10;中度可信度描述已自动生成"/>
                          <pic:cNvPicPr>
                            <a:picLocks noChangeAspect="1"/>
                          </pic:cNvPicPr>
                        </pic:nvPicPr>
                        <pic:blipFill>
                          <a:blip r:embed="rId17"/>
                          <a:stretch>
                            <a:fillRect/>
                          </a:stretch>
                        </pic:blipFill>
                        <pic:spPr>
                          <a:xfrm>
                            <a:off x="0" y="0"/>
                            <a:ext cx="1632948" cy="1181587"/>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1" w:type="pct"/>
          </w:tcPr>
          <w:p>
            <w:pPr>
              <w:pStyle w:val="13"/>
              <w:snapToGrid w:val="0"/>
              <w:spacing w:after="0"/>
              <w:jc w:val="center"/>
              <w:rPr>
                <w:rFonts w:ascii="Times New Roman" w:hAnsi="Times New Roman"/>
                <w:kern w:val="0"/>
              </w:rPr>
            </w:pPr>
            <w:r>
              <w:rPr>
                <w:rFonts w:hint="eastAsia" w:ascii="Times New Roman" w:hAnsi="Times New Roman"/>
                <w:kern w:val="0"/>
              </w:rPr>
              <w:t>（a）采砂筒</w:t>
            </w:r>
          </w:p>
        </w:tc>
        <w:tc>
          <w:tcPr>
            <w:tcW w:w="2699" w:type="pct"/>
          </w:tcPr>
          <w:p>
            <w:pPr>
              <w:pStyle w:val="13"/>
              <w:snapToGrid w:val="0"/>
              <w:spacing w:after="0"/>
              <w:jc w:val="center"/>
              <w:rPr>
                <w:rFonts w:ascii="Times New Roman" w:hAnsi="Times New Roman"/>
                <w:kern w:val="0"/>
              </w:rPr>
            </w:pPr>
            <w:r>
              <w:rPr>
                <w:rFonts w:hint="eastAsia" w:ascii="Times New Roman" w:hAnsi="Times New Roman"/>
                <w:kern w:val="0"/>
              </w:rPr>
              <w:t>（b）手柄卡槽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1" w:type="pct"/>
            <w:vAlign w:val="center"/>
          </w:tcPr>
          <w:p>
            <w:pPr>
              <w:pStyle w:val="13"/>
              <w:snapToGrid w:val="0"/>
              <w:spacing w:after="0" w:line="360" w:lineRule="auto"/>
              <w:jc w:val="center"/>
              <w:rPr>
                <w:rFonts w:ascii="Times New Roman" w:hAnsi="Times New Roman"/>
                <w:kern w:val="0"/>
              </w:rPr>
            </w:pPr>
            <w:r>
              <w:drawing>
                <wp:inline distT="0" distB="0" distL="0" distR="0">
                  <wp:extent cx="2115185" cy="773430"/>
                  <wp:effectExtent l="0" t="0" r="0" b="7620"/>
                  <wp:docPr id="1129494512" name="图片 1" descr="形状,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94512" name="图片 1" descr="形状, 矩形&#10;&#10;描述已自动生成"/>
                          <pic:cNvPicPr>
                            <a:picLocks noChangeAspect="1"/>
                          </pic:cNvPicPr>
                        </pic:nvPicPr>
                        <pic:blipFill>
                          <a:blip r:embed="rId18"/>
                          <a:stretch>
                            <a:fillRect/>
                          </a:stretch>
                        </pic:blipFill>
                        <pic:spPr>
                          <a:xfrm>
                            <a:off x="0" y="0"/>
                            <a:ext cx="2154954" cy="788193"/>
                          </a:xfrm>
                          <a:prstGeom prst="rect">
                            <a:avLst/>
                          </a:prstGeom>
                        </pic:spPr>
                      </pic:pic>
                    </a:graphicData>
                  </a:graphic>
                </wp:inline>
              </w:drawing>
            </w:r>
          </w:p>
        </w:tc>
        <w:tc>
          <w:tcPr>
            <w:tcW w:w="2699" w:type="pct"/>
            <w:vAlign w:val="center"/>
          </w:tcPr>
          <w:p>
            <w:pPr>
              <w:pStyle w:val="13"/>
              <w:snapToGrid w:val="0"/>
              <w:spacing w:after="0" w:line="360" w:lineRule="auto"/>
              <w:jc w:val="center"/>
              <w:rPr>
                <w:rFonts w:ascii="Times New Roman" w:hAnsi="Times New Roman"/>
                <w:kern w:val="0"/>
              </w:rPr>
            </w:pPr>
            <w:r>
              <w:drawing>
                <wp:inline distT="0" distB="0" distL="0" distR="0">
                  <wp:extent cx="1186815" cy="1604010"/>
                  <wp:effectExtent l="0" t="0" r="0" b="0"/>
                  <wp:docPr id="714592891" name="图片 1" descr="形状, 圆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92891" name="图片 1" descr="形状, 圆圈&#10;&#10;描述已自动生成"/>
                          <pic:cNvPicPr>
                            <a:picLocks noChangeAspect="1"/>
                          </pic:cNvPicPr>
                        </pic:nvPicPr>
                        <pic:blipFill>
                          <a:blip r:embed="rId19"/>
                          <a:stretch>
                            <a:fillRect/>
                          </a:stretch>
                        </pic:blipFill>
                        <pic:spPr>
                          <a:xfrm>
                            <a:off x="0" y="0"/>
                            <a:ext cx="1201747" cy="1623912"/>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1" w:type="pct"/>
          </w:tcPr>
          <w:p>
            <w:pPr>
              <w:pStyle w:val="13"/>
              <w:snapToGrid w:val="0"/>
              <w:spacing w:after="0" w:line="360" w:lineRule="auto"/>
              <w:jc w:val="center"/>
              <w:rPr>
                <w:rFonts w:ascii="Times New Roman" w:hAnsi="Times New Roman"/>
                <w:kern w:val="0"/>
              </w:rPr>
            </w:pPr>
            <w:r>
              <w:rPr>
                <w:rFonts w:hint="eastAsia" w:ascii="Times New Roman" w:hAnsi="Times New Roman"/>
                <w:kern w:val="0"/>
              </w:rPr>
              <w:t>（c）铲平斗</w:t>
            </w:r>
          </w:p>
        </w:tc>
        <w:tc>
          <w:tcPr>
            <w:tcW w:w="2699" w:type="pct"/>
          </w:tcPr>
          <w:p>
            <w:pPr>
              <w:pStyle w:val="13"/>
              <w:snapToGrid w:val="0"/>
              <w:spacing w:after="0" w:line="360" w:lineRule="auto"/>
              <w:jc w:val="center"/>
              <w:rPr>
                <w:rFonts w:ascii="Times New Roman" w:hAnsi="Times New Roman"/>
                <w:kern w:val="0"/>
              </w:rPr>
            </w:pPr>
            <w:r>
              <w:rPr>
                <w:rFonts w:hint="eastAsia" w:ascii="Times New Roman" w:hAnsi="Times New Roman"/>
                <w:kern w:val="0"/>
              </w:rPr>
              <w:t>（d）上下筒盖</w:t>
            </w:r>
          </w:p>
        </w:tc>
      </w:tr>
    </w:tbl>
    <w:p>
      <w:pPr>
        <w:pStyle w:val="83"/>
        <w:spacing w:before="156" w:after="156"/>
      </w:pPr>
      <w:r>
        <w:rPr>
          <w:rFonts w:hint="eastAsia"/>
        </w:rPr>
        <w:t>砂料样品采集装置</w:t>
      </w:r>
    </w:p>
    <w:p>
      <w:pPr>
        <w:pStyle w:val="56"/>
        <w:ind w:firstLine="420"/>
      </w:pPr>
    </w:p>
    <w:p>
      <w:pPr>
        <w:pStyle w:val="56"/>
        <w:ind w:firstLine="420"/>
      </w:pPr>
    </w:p>
    <w:bookmarkEnd w:id="83"/>
    <w:p>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538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ShYMe2tI5NGmutHoQkRFJ3qenmFtfbhy2hb14XioJwc7kG4Hc6W1FDnW0K5uY2wrz/fytI3aoLYGa/8ifmmUqw==" w:salt="mA5kjfS9fg+ogBQiqhuUr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D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E97"/>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250"/>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4D0"/>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B09"/>
    <w:rsid w:val="001D2DE7"/>
    <w:rsid w:val="001D411C"/>
    <w:rsid w:val="001E1B6A"/>
    <w:rsid w:val="001E2484"/>
    <w:rsid w:val="001E3CC4"/>
    <w:rsid w:val="001E41B6"/>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0E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120"/>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C0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B0A"/>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104"/>
    <w:rsid w:val="004B59E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6B9"/>
    <w:rsid w:val="00555044"/>
    <w:rsid w:val="00561475"/>
    <w:rsid w:val="00563077"/>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80D"/>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42C"/>
    <w:rsid w:val="006C6976"/>
    <w:rsid w:val="006C6DD0"/>
    <w:rsid w:val="006D04EA"/>
    <w:rsid w:val="006D0AB7"/>
    <w:rsid w:val="006D16C4"/>
    <w:rsid w:val="006D3E96"/>
    <w:rsid w:val="006D4515"/>
    <w:rsid w:val="006D4BB1"/>
    <w:rsid w:val="006D6593"/>
    <w:rsid w:val="006E23EA"/>
    <w:rsid w:val="006F03A8"/>
    <w:rsid w:val="006F168B"/>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89F"/>
    <w:rsid w:val="00842A47"/>
    <w:rsid w:val="00843C13"/>
    <w:rsid w:val="008454F8"/>
    <w:rsid w:val="0085173A"/>
    <w:rsid w:val="00856316"/>
    <w:rsid w:val="008603CE"/>
    <w:rsid w:val="008620FC"/>
    <w:rsid w:val="008627A5"/>
    <w:rsid w:val="00863E05"/>
    <w:rsid w:val="00863E8C"/>
    <w:rsid w:val="00865ACA"/>
    <w:rsid w:val="00865D28"/>
    <w:rsid w:val="00865F85"/>
    <w:rsid w:val="00867C10"/>
    <w:rsid w:val="00870439"/>
    <w:rsid w:val="00870DA1"/>
    <w:rsid w:val="008728F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89F"/>
    <w:rsid w:val="009245F5"/>
    <w:rsid w:val="009249EC"/>
    <w:rsid w:val="009273B3"/>
    <w:rsid w:val="009305B5"/>
    <w:rsid w:val="009429D5"/>
    <w:rsid w:val="00942BF1"/>
    <w:rsid w:val="00945180"/>
    <w:rsid w:val="00945428"/>
    <w:rsid w:val="00945589"/>
    <w:rsid w:val="0094607B"/>
    <w:rsid w:val="00953604"/>
    <w:rsid w:val="0095496B"/>
    <w:rsid w:val="00956D1E"/>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B64"/>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8DA"/>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B74"/>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45"/>
    <w:rsid w:val="00E70F92"/>
    <w:rsid w:val="00E74C54"/>
    <w:rsid w:val="00E77A03"/>
    <w:rsid w:val="00E822E8"/>
    <w:rsid w:val="00E82554"/>
    <w:rsid w:val="00E82606"/>
    <w:rsid w:val="00E846C8"/>
    <w:rsid w:val="00E84957"/>
    <w:rsid w:val="00E84A55"/>
    <w:rsid w:val="00E85BFF"/>
    <w:rsid w:val="00E8792D"/>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2B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9C8"/>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72F810F"/>
    <w:rsid w:val="7B24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808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64C2BFC3174D1CA2829D178092DFF2"/>
        <w:style w:val=""/>
        <w:category>
          <w:name w:val="常规"/>
          <w:gallery w:val="placeholder"/>
        </w:category>
        <w:types>
          <w:type w:val="bbPlcHdr"/>
        </w:types>
        <w:behaviors>
          <w:behavior w:val="content"/>
        </w:behaviors>
        <w:description w:val=""/>
        <w:guid w:val="{40F9733B-AACB-4EE1-B261-E5895DE2CDB3}"/>
      </w:docPartPr>
      <w:docPartBody>
        <w:p>
          <w:pPr>
            <w:pStyle w:val="5"/>
            <w:rPr>
              <w:rFonts w:hint="eastAsia"/>
            </w:rPr>
          </w:pPr>
          <w:r>
            <w:rPr>
              <w:rStyle w:val="4"/>
              <w:rFonts w:hint="eastAsia"/>
            </w:rPr>
            <w:t>单击或点击此处输入文字。</w:t>
          </w:r>
        </w:p>
      </w:docPartBody>
    </w:docPart>
    <w:docPart>
      <w:docPartPr>
        <w:name w:val="8785A76976FC46459A6C0FD5495C314A"/>
        <w:style w:val=""/>
        <w:category>
          <w:name w:val="常规"/>
          <w:gallery w:val="placeholder"/>
        </w:category>
        <w:types>
          <w:type w:val="bbPlcHdr"/>
        </w:types>
        <w:behaviors>
          <w:behavior w:val="content"/>
        </w:behaviors>
        <w:description w:val=""/>
        <w:guid w:val="{A98530D2-E643-4248-8A01-A3E41761EA9E}"/>
      </w:docPartPr>
      <w:docPartBody>
        <w:p>
          <w:pPr>
            <w:pStyle w:val="6"/>
            <w:rPr>
              <w:rFonts w:hint="eastAsia"/>
            </w:rPr>
          </w:pPr>
          <w:r>
            <w:rPr>
              <w:rStyle w:val="4"/>
              <w:rFonts w:hint="eastAsia"/>
            </w:rPr>
            <w:t>选择一项。</w:t>
          </w:r>
        </w:p>
      </w:docPartBody>
    </w:docPart>
    <w:docPart>
      <w:docPartPr>
        <w:name w:val="8EEA1B4513F2486DB6F7B74EEB4F1C23"/>
        <w:style w:val=""/>
        <w:category>
          <w:name w:val="常规"/>
          <w:gallery w:val="placeholder"/>
        </w:category>
        <w:types>
          <w:type w:val="bbPlcHdr"/>
        </w:types>
        <w:behaviors>
          <w:behavior w:val="content"/>
        </w:behaviors>
        <w:description w:val=""/>
        <w:guid w:val="{A8C8FCA5-A32A-44D9-AF08-90A10737FAE4}"/>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0D"/>
    <w:rsid w:val="000A3C06"/>
    <w:rsid w:val="001016A8"/>
    <w:rsid w:val="006A2807"/>
    <w:rsid w:val="0081680D"/>
    <w:rsid w:val="0084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364C2BFC3174D1CA2829D178092DF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85A76976FC46459A6C0FD5495C31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EEA1B4513F2486DB6F7B74EEB4F1C2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925</Words>
  <Characters>5279</Characters>
  <Lines>43</Lines>
  <Paragraphs>12</Paragraphs>
  <TotalTime>200</TotalTime>
  <ScaleCrop>false</ScaleCrop>
  <LinksUpToDate>false</LinksUpToDate>
  <CharactersWithSpaces>6192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2024-10-27T16:33:00Z</dcterms:created>
  <dc:creator>zhaofeixi</dc:creator>
  <dc:description>&lt;config cover="true" show_menu="true" version="1.0.0" doctype="SDKXY"&gt;_x000d_
&lt;/config&gt;</dc:description>
  <cp:lastModifiedBy>味無色</cp:lastModifiedBy>
  <cp:lastPrinted>2020-08-30T18:00:00Z</cp:lastPrinted>
  <dcterms:modified xsi:type="dcterms:W3CDTF">2024-11-05T03:46:04Z</dcterms:modified>
  <dc:title>地方标准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681EA494BD4D430FB82AA045C36FF8F1_13</vt:lpwstr>
  </property>
</Properties>
</file>